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9AD0" w14:textId="626CEF81" w:rsidR="00594C38" w:rsidRPr="00221B5B" w:rsidRDefault="009010B5" w:rsidP="00594C38">
      <w:pPr>
        <w:pStyle w:val="NoSpacing"/>
        <w:rPr>
          <w:rFonts w:ascii="Garamond" w:hAnsi="Garamond"/>
          <w:sz w:val="8"/>
          <w:szCs w:val="8"/>
        </w:rPr>
      </w:pPr>
      <w:r w:rsidRPr="00594C38">
        <w:rPr>
          <w:rFonts w:ascii="Garamond" w:hAnsi="Garamond"/>
          <w:sz w:val="24"/>
          <w:szCs w:val="24"/>
        </w:rPr>
        <w:t>Constitutional Law</w:t>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r>
      <w:r w:rsidRPr="00594C38">
        <w:rPr>
          <w:rFonts w:ascii="Garamond" w:hAnsi="Garamond"/>
          <w:sz w:val="24"/>
          <w:szCs w:val="24"/>
        </w:rPr>
        <w:tab/>
        <w:t>Name___________________________</w:t>
      </w:r>
      <w:r w:rsidRPr="00594C38">
        <w:rPr>
          <w:rFonts w:ascii="Garamond" w:hAnsi="Garamond"/>
          <w:sz w:val="24"/>
          <w:szCs w:val="24"/>
        </w:rPr>
        <w:br/>
      </w:r>
      <w:r w:rsidRPr="00594C38">
        <w:rPr>
          <w:rFonts w:ascii="Garamond" w:hAnsi="Garamond"/>
          <w:b/>
          <w:i/>
          <w:sz w:val="24"/>
          <w:szCs w:val="24"/>
        </w:rPr>
        <w:t xml:space="preserve">Dobbs v. Jackson Women's Health Organization </w:t>
      </w:r>
      <w:r w:rsidRPr="00594C38">
        <w:rPr>
          <w:rFonts w:ascii="Garamond" w:hAnsi="Garamond"/>
          <w:b/>
          <w:iCs/>
          <w:sz w:val="24"/>
          <w:szCs w:val="24"/>
        </w:rPr>
        <w:t>(2022)</w:t>
      </w:r>
      <w:r w:rsidRPr="00594C38">
        <w:rPr>
          <w:rFonts w:ascii="Garamond" w:hAnsi="Garamond"/>
          <w:b/>
          <w:i/>
          <w:sz w:val="24"/>
          <w:szCs w:val="24"/>
        </w:rPr>
        <w:t xml:space="preserve"> (</w:t>
      </w:r>
      <w:r w:rsidRPr="00594C38">
        <w:rPr>
          <w:rFonts w:ascii="Garamond" w:hAnsi="Garamond"/>
          <w:b/>
          <w:sz w:val="24"/>
          <w:szCs w:val="24"/>
        </w:rPr>
        <w:t xml:space="preserve">Argued: </w:t>
      </w:r>
      <w:r w:rsidRPr="00594C38">
        <w:rPr>
          <w:rFonts w:ascii="Garamond" w:hAnsi="Garamond"/>
          <w:b/>
          <w:bCs/>
          <w:sz w:val="24"/>
          <w:szCs w:val="24"/>
        </w:rPr>
        <w:t>December 1, 2021/</w:t>
      </w:r>
      <w:r w:rsidRPr="00594C38">
        <w:rPr>
          <w:rFonts w:ascii="Garamond" w:hAnsi="Garamond"/>
          <w:b/>
          <w:sz w:val="24"/>
          <w:szCs w:val="24"/>
        </w:rPr>
        <w:t xml:space="preserve">Decided: </w:t>
      </w:r>
      <w:r w:rsidRPr="00594C38">
        <w:rPr>
          <w:rFonts w:ascii="Garamond" w:hAnsi="Garamond"/>
          <w:b/>
          <w:bCs/>
          <w:sz w:val="24"/>
          <w:szCs w:val="24"/>
        </w:rPr>
        <w:t>June 24, 2022</w:t>
      </w:r>
      <w:r w:rsidRPr="00594C38">
        <w:rPr>
          <w:rFonts w:ascii="Garamond" w:hAnsi="Garamond"/>
          <w:i/>
          <w:sz w:val="24"/>
          <w:szCs w:val="24"/>
        </w:rPr>
        <w:br/>
      </w:r>
      <w:r w:rsidRPr="00594C38">
        <w:rPr>
          <w:rFonts w:ascii="Garamond" w:hAnsi="Garamond"/>
          <w:sz w:val="24"/>
          <w:szCs w:val="24"/>
        </w:rPr>
        <w:t>Mr. Faulhaber</w:t>
      </w:r>
      <w:r w:rsidRPr="00594C38">
        <w:rPr>
          <w:rFonts w:ascii="Garamond" w:hAnsi="Garamond"/>
          <w:i/>
          <w:sz w:val="24"/>
          <w:szCs w:val="24"/>
        </w:rPr>
        <w:tab/>
      </w:r>
      <w:r>
        <w:rPr>
          <w:sz w:val="16"/>
          <w:szCs w:val="16"/>
        </w:rPr>
        <w:t xml:space="preserve">       </w:t>
      </w:r>
      <w:r>
        <w:rPr>
          <w:sz w:val="16"/>
          <w:szCs w:val="16"/>
        </w:rPr>
        <w:tab/>
        <w:t xml:space="preserve">    </w:t>
      </w:r>
      <w:r w:rsidR="00523F64">
        <w:rPr>
          <w:sz w:val="16"/>
          <w:szCs w:val="16"/>
        </w:rPr>
        <w:br/>
      </w:r>
      <w:r w:rsidR="00523F64">
        <w:rPr>
          <w:sz w:val="16"/>
          <w:szCs w:val="16"/>
        </w:rPr>
        <w:br/>
      </w:r>
      <w:r w:rsidRPr="00594C38">
        <w:rPr>
          <w:rFonts w:ascii="Garamond" w:hAnsi="Garamond"/>
          <w:sz w:val="24"/>
          <w:szCs w:val="24"/>
          <w:highlight w:val="yellow"/>
        </w:rPr>
        <w:t>Directions:</w:t>
      </w:r>
      <w:r w:rsidR="00215E25" w:rsidRPr="00594C38">
        <w:rPr>
          <w:rFonts w:ascii="Garamond" w:hAnsi="Garamond"/>
          <w:sz w:val="24"/>
          <w:szCs w:val="24"/>
          <w:highlight w:val="yellow"/>
        </w:rPr>
        <w:t xml:space="preserve"> </w:t>
      </w:r>
      <w:r w:rsidRPr="00594C38">
        <w:rPr>
          <w:rFonts w:ascii="Garamond" w:hAnsi="Garamond"/>
          <w:sz w:val="24"/>
          <w:szCs w:val="24"/>
          <w:highlight w:val="green"/>
        </w:rPr>
        <w:t>Read and highlight or Underline the</w:t>
      </w:r>
      <w:r w:rsidR="00215E25" w:rsidRPr="00594C38">
        <w:rPr>
          <w:rFonts w:ascii="Garamond" w:hAnsi="Garamond"/>
          <w:sz w:val="24"/>
          <w:szCs w:val="24"/>
          <w:highlight w:val="green"/>
        </w:rPr>
        <w:t xml:space="preserve"> case information </w:t>
      </w:r>
      <w:r w:rsidR="00E45CC3">
        <w:rPr>
          <w:rFonts w:ascii="Garamond" w:hAnsi="Garamond"/>
          <w:sz w:val="24"/>
          <w:szCs w:val="24"/>
          <w:highlight w:val="green"/>
        </w:rPr>
        <w:t xml:space="preserve">below. </w:t>
      </w:r>
      <w:r>
        <w:rPr>
          <w:rFonts w:ascii="Gill Sans MT" w:hAnsi="Gill Sans MT"/>
          <w:i/>
          <w:sz w:val="36"/>
          <w:szCs w:val="36"/>
        </w:rPr>
        <w:br/>
      </w:r>
      <w:r w:rsidR="00215E25" w:rsidRPr="003E0594">
        <w:rPr>
          <w:sz w:val="16"/>
          <w:szCs w:val="16"/>
        </w:rPr>
        <w:br/>
      </w:r>
      <w:r w:rsidR="00E45CC3">
        <w:rPr>
          <w:rFonts w:ascii="Garamond" w:hAnsi="Garamond"/>
          <w:b/>
        </w:rPr>
        <w:t xml:space="preserve">U.S. </w:t>
      </w:r>
      <w:r w:rsidR="00594C38" w:rsidRPr="00594C38">
        <w:rPr>
          <w:rFonts w:ascii="Garamond" w:hAnsi="Garamond"/>
          <w:b/>
        </w:rPr>
        <w:t>Constitutional Provision and Supreme Court Precedents</w:t>
      </w:r>
      <w:r w:rsidR="00221B5B">
        <w:rPr>
          <w:rFonts w:ascii="Garamond" w:hAnsi="Garamond"/>
          <w:b/>
        </w:rPr>
        <w:br/>
      </w:r>
    </w:p>
    <w:p w14:paraId="4EA8AE45" w14:textId="34FDA2A3" w:rsidR="00594C38" w:rsidRPr="00BB10EE" w:rsidRDefault="00594C38" w:rsidP="00CD2A24">
      <w:pPr>
        <w:pStyle w:val="NoSpacing"/>
        <w:numPr>
          <w:ilvl w:val="0"/>
          <w:numId w:val="7"/>
        </w:numPr>
        <w:rPr>
          <w:rFonts w:ascii="Garamond" w:hAnsi="Garamond"/>
          <w:sz w:val="12"/>
          <w:szCs w:val="12"/>
        </w:rPr>
      </w:pPr>
      <w:r w:rsidRPr="00BB10EE">
        <w:rPr>
          <w:rFonts w:ascii="Garamond" w:hAnsi="Garamond"/>
          <w:sz w:val="16"/>
          <w:szCs w:val="16"/>
        </w:rPr>
        <w:t>Due Process Clause of the 14</w:t>
      </w:r>
      <w:r w:rsidRPr="00BB10EE">
        <w:rPr>
          <w:rFonts w:ascii="Garamond" w:hAnsi="Garamond"/>
          <w:sz w:val="16"/>
          <w:szCs w:val="16"/>
          <w:vertAlign w:val="superscript"/>
        </w:rPr>
        <w:t>th</w:t>
      </w:r>
      <w:r w:rsidRPr="00BB10EE">
        <w:rPr>
          <w:rFonts w:ascii="Garamond" w:hAnsi="Garamond"/>
          <w:sz w:val="16"/>
          <w:szCs w:val="16"/>
        </w:rPr>
        <w:t xml:space="preserve"> Amendment to the U.S. Constitution: </w:t>
      </w:r>
      <w:r w:rsidRPr="00BB10EE">
        <w:rPr>
          <w:rFonts w:ascii="Garamond" w:hAnsi="Garamond"/>
          <w:bCs/>
          <w:sz w:val="16"/>
          <w:szCs w:val="16"/>
        </w:rPr>
        <w:t>“…nor shall any State deprive any person of life, liberty, or property, without due process of law…”</w:t>
      </w:r>
      <w:r w:rsidRPr="00BB10EE">
        <w:rPr>
          <w:rFonts w:ascii="Garamond" w:hAnsi="Garamond"/>
          <w:sz w:val="16"/>
          <w:szCs w:val="16"/>
        </w:rPr>
        <w:t xml:space="preserve"> </w:t>
      </w:r>
      <w:r w:rsidR="00221B5B" w:rsidRPr="00BB10EE">
        <w:rPr>
          <w:rFonts w:ascii="Garamond" w:hAnsi="Garamond"/>
          <w:sz w:val="16"/>
          <w:szCs w:val="16"/>
        </w:rPr>
        <w:br/>
      </w:r>
    </w:p>
    <w:p w14:paraId="6C5ABDD9" w14:textId="7B893528" w:rsidR="00221B5B" w:rsidRPr="00BB10EE" w:rsidRDefault="00594C38" w:rsidP="00CD2A24">
      <w:pPr>
        <w:pStyle w:val="NoSpacing"/>
        <w:numPr>
          <w:ilvl w:val="0"/>
          <w:numId w:val="7"/>
        </w:numPr>
        <w:rPr>
          <w:rFonts w:ascii="Garamond" w:hAnsi="Garamond"/>
          <w:b/>
          <w:bCs/>
          <w:sz w:val="16"/>
          <w:szCs w:val="16"/>
        </w:rPr>
      </w:pPr>
      <w:r w:rsidRPr="00BB10EE">
        <w:rPr>
          <w:rFonts w:ascii="Garamond" w:hAnsi="Garamond"/>
          <w:bCs/>
          <w:i/>
          <w:sz w:val="16"/>
          <w:szCs w:val="16"/>
        </w:rPr>
        <w:t>Roe v. Wade</w:t>
      </w:r>
      <w:r w:rsidRPr="00BB10EE">
        <w:rPr>
          <w:rFonts w:ascii="Garamond" w:hAnsi="Garamond"/>
          <w:bCs/>
          <w:sz w:val="16"/>
          <w:szCs w:val="16"/>
        </w:rPr>
        <w:t xml:space="preserve"> (1973)</w:t>
      </w:r>
      <w:r w:rsidR="00221B5B" w:rsidRPr="00BB10EE">
        <w:rPr>
          <w:rFonts w:ascii="Garamond" w:hAnsi="Garamond"/>
          <w:bCs/>
          <w:sz w:val="16"/>
          <w:szCs w:val="16"/>
        </w:rPr>
        <w:t xml:space="preserve">: </w:t>
      </w:r>
      <w:r w:rsidRPr="00BB10EE">
        <w:rPr>
          <w:rFonts w:ascii="Garamond" w:hAnsi="Garamond"/>
          <w:bCs/>
          <w:sz w:val="16"/>
          <w:szCs w:val="16"/>
        </w:rPr>
        <w:t>In a 7-2 decision, the Supreme Court ruled that people had a right to have an abortion as part of their fundamental right to privacy, which was protected by the Due Process Clause of the 14</w:t>
      </w:r>
      <w:r w:rsidRPr="00BB10EE">
        <w:rPr>
          <w:rFonts w:ascii="Garamond" w:hAnsi="Garamond"/>
          <w:bCs/>
          <w:sz w:val="16"/>
          <w:szCs w:val="16"/>
          <w:vertAlign w:val="superscript"/>
        </w:rPr>
        <w:t>th</w:t>
      </w:r>
      <w:r w:rsidRPr="00BB10EE">
        <w:rPr>
          <w:rFonts w:ascii="Garamond" w:hAnsi="Garamond"/>
          <w:bCs/>
          <w:sz w:val="16"/>
          <w:szCs w:val="16"/>
        </w:rPr>
        <w:t xml:space="preserve"> Amendment. The right to privacy meant that people were protected from unreasonable state interference in their marriage, procreation, contraception, family relationships, and child rearing. The government could only restrict this right if there was a compelling government interest. Because these interests became stronger later in pregnancy, the Court said the government could not limit abortion during the first trimester (first 12 weeks) of pregnancy, could impose reasonable restrictions during the second trimester (weeks 13–26), and could completely ban abortion during the third trimester. </w:t>
      </w:r>
    </w:p>
    <w:p w14:paraId="59C92E20" w14:textId="77777777" w:rsidR="00221B5B" w:rsidRPr="00BB10EE" w:rsidRDefault="00221B5B" w:rsidP="00221B5B">
      <w:pPr>
        <w:pStyle w:val="NoSpacing"/>
        <w:ind w:left="720"/>
        <w:rPr>
          <w:rFonts w:ascii="Garamond" w:hAnsi="Garamond"/>
          <w:b/>
          <w:bCs/>
          <w:sz w:val="12"/>
          <w:szCs w:val="12"/>
        </w:rPr>
      </w:pPr>
    </w:p>
    <w:p w14:paraId="7315853E" w14:textId="5186A1E5" w:rsidR="00594C38" w:rsidRPr="00BB10EE" w:rsidRDefault="00594C38" w:rsidP="00CD2A24">
      <w:pPr>
        <w:pStyle w:val="NoSpacing"/>
        <w:numPr>
          <w:ilvl w:val="0"/>
          <w:numId w:val="7"/>
        </w:numPr>
        <w:rPr>
          <w:rFonts w:ascii="Garamond" w:hAnsi="Garamond"/>
          <w:b/>
          <w:bCs/>
          <w:sz w:val="16"/>
          <w:szCs w:val="16"/>
        </w:rPr>
      </w:pPr>
      <w:r w:rsidRPr="00BB10EE">
        <w:rPr>
          <w:rFonts w:ascii="Garamond" w:hAnsi="Garamond"/>
          <w:bCs/>
          <w:i/>
          <w:sz w:val="16"/>
          <w:szCs w:val="16"/>
        </w:rPr>
        <w:t>Planned Parenthood of Southeastern Pennsylvania v. Casey</w:t>
      </w:r>
      <w:r w:rsidRPr="00BB10EE">
        <w:rPr>
          <w:rFonts w:ascii="Garamond" w:hAnsi="Garamond"/>
          <w:bCs/>
          <w:sz w:val="16"/>
          <w:szCs w:val="16"/>
        </w:rPr>
        <w:t xml:space="preserve"> (1992)</w:t>
      </w:r>
      <w:r w:rsidR="00221B5B" w:rsidRPr="00BB10EE">
        <w:rPr>
          <w:rFonts w:ascii="Garamond" w:hAnsi="Garamond"/>
          <w:b/>
          <w:bCs/>
          <w:sz w:val="16"/>
          <w:szCs w:val="16"/>
        </w:rPr>
        <w:t xml:space="preserve">: </w:t>
      </w:r>
      <w:r w:rsidRPr="00BB10EE">
        <w:rPr>
          <w:rFonts w:ascii="Garamond" w:hAnsi="Garamond"/>
          <w:sz w:val="16"/>
          <w:szCs w:val="16"/>
        </w:rPr>
        <w:t xml:space="preserve">This case changed the Supreme Court’s analysis for abortion cases. The Court reaffirmed the central holding of </w:t>
      </w:r>
      <w:r w:rsidRPr="00BB10EE">
        <w:rPr>
          <w:rFonts w:ascii="Garamond" w:hAnsi="Garamond"/>
          <w:i/>
          <w:sz w:val="16"/>
          <w:szCs w:val="16"/>
        </w:rPr>
        <w:t>Roe</w:t>
      </w:r>
      <w:r w:rsidRPr="00BB10EE">
        <w:rPr>
          <w:rFonts w:ascii="Garamond" w:hAnsi="Garamond"/>
          <w:sz w:val="16"/>
          <w:szCs w:val="16"/>
        </w:rPr>
        <w:t>, that a person has the right to have an abortion without the undue influence of the state, and that states may not ban abortions before fetal viability. For state laws that regulated (rather than banned) abortions, the Court applied the undue burden</w:t>
      </w:r>
      <w:r w:rsidRPr="00BB10EE">
        <w:rPr>
          <w:rFonts w:ascii="Garamond" w:hAnsi="Garamond"/>
          <w:b/>
          <w:bCs/>
          <w:sz w:val="16"/>
          <w:szCs w:val="16"/>
        </w:rPr>
        <w:t xml:space="preserve"> </w:t>
      </w:r>
      <w:r w:rsidRPr="00BB10EE">
        <w:rPr>
          <w:rFonts w:ascii="Garamond" w:hAnsi="Garamond"/>
          <w:sz w:val="16"/>
          <w:szCs w:val="16"/>
        </w:rPr>
        <w:t xml:space="preserve">test. A law posed an undue burden on a person’s right to an abortion if it </w:t>
      </w:r>
      <w:r w:rsidRPr="00BB10EE">
        <w:rPr>
          <w:rFonts w:ascii="Garamond" w:hAnsi="Garamond"/>
          <w:b/>
          <w:bCs/>
          <w:sz w:val="16"/>
          <w:szCs w:val="16"/>
        </w:rPr>
        <w:t>(1)</w:t>
      </w:r>
      <w:r w:rsidRPr="00BB10EE">
        <w:rPr>
          <w:rFonts w:ascii="Garamond" w:hAnsi="Garamond"/>
          <w:sz w:val="16"/>
          <w:szCs w:val="16"/>
        </w:rPr>
        <w:t xml:space="preserve"> placed a substantial obstacle in their path and </w:t>
      </w:r>
      <w:r w:rsidRPr="00BB10EE">
        <w:rPr>
          <w:rFonts w:ascii="Garamond" w:hAnsi="Garamond"/>
          <w:b/>
          <w:bCs/>
          <w:sz w:val="16"/>
          <w:szCs w:val="16"/>
        </w:rPr>
        <w:t>(2)</w:t>
      </w:r>
      <w:r w:rsidRPr="00BB10EE">
        <w:rPr>
          <w:rFonts w:ascii="Garamond" w:hAnsi="Garamond"/>
          <w:sz w:val="16"/>
          <w:szCs w:val="16"/>
        </w:rPr>
        <w:t xml:space="preserve"> failed to advance a legitimate state interest. The Court struck down the part of the Pennsylvania law that required a woman to notify her husband before she could get an abortion. The Court stated that this could cause abuse and domestic violence, which constituted a substantial obstacle. The Court also said that other parts of the law, like the informed consent requirement, a 24-hour waiting period, and a one-parent consent requirement for minors, did not present an undue burden.</w:t>
      </w:r>
    </w:p>
    <w:p w14:paraId="6C444C63" w14:textId="271BB1F5" w:rsidR="008E4E86" w:rsidRPr="00221B5B" w:rsidRDefault="00221B5B" w:rsidP="00221B5B">
      <w:pPr>
        <w:pStyle w:val="NoSpacing"/>
        <w:rPr>
          <w:rFonts w:ascii="Garamond" w:hAnsi="Garamond"/>
          <w:sz w:val="20"/>
          <w:szCs w:val="20"/>
        </w:rPr>
      </w:pPr>
      <w:r>
        <w:rPr>
          <w:rFonts w:ascii="Garamond" w:hAnsi="Garamond"/>
          <w:b/>
          <w:sz w:val="16"/>
          <w:szCs w:val="16"/>
        </w:rPr>
        <w:br/>
      </w:r>
      <w:r w:rsidR="00871E70" w:rsidRPr="00221B5B">
        <w:rPr>
          <w:rFonts w:ascii="Garamond" w:hAnsi="Garamond"/>
          <w:b/>
        </w:rPr>
        <w:t>Background</w:t>
      </w:r>
      <w:r w:rsidR="00FA4705" w:rsidRPr="00221B5B">
        <w:rPr>
          <w:rFonts w:ascii="Garamond" w:hAnsi="Garamond"/>
          <w:b/>
        </w:rPr>
        <w:t>:</w:t>
      </w:r>
      <w:r w:rsidR="00FA4705" w:rsidRPr="00221B5B">
        <w:rPr>
          <w:rFonts w:ascii="Garamond" w:hAnsi="Garamond"/>
          <w:sz w:val="20"/>
          <w:szCs w:val="20"/>
        </w:rPr>
        <w:t xml:space="preserve"> </w:t>
      </w:r>
      <w:r w:rsidR="00871E70" w:rsidRPr="00221B5B">
        <w:rPr>
          <w:rFonts w:ascii="Garamond" w:hAnsi="Garamond"/>
          <w:sz w:val="20"/>
          <w:szCs w:val="20"/>
        </w:rPr>
        <w:t>Abortion is an extremely controversial issue. It often involves people’s strongly held beliefs about religion, morality, life, the role of the government, and the constitutional right to privacy. Even though the words “right to privacy” do not appear in the Constitution, the Supreme Court has long recognized that the Constitution does guarantee Americans some degree of privacy, or freedom from government intervention into their private lives, including a person’s right to obtain an abortion in certain instances.</w:t>
      </w:r>
      <w:r w:rsidR="006360A3" w:rsidRPr="00221B5B">
        <w:rPr>
          <w:rFonts w:ascii="Garamond" w:hAnsi="Garamond"/>
          <w:sz w:val="20"/>
          <w:szCs w:val="20"/>
        </w:rPr>
        <w:br/>
      </w:r>
      <w:r w:rsidR="006360A3" w:rsidRPr="00221B5B">
        <w:rPr>
          <w:rFonts w:ascii="Garamond" w:hAnsi="Garamond"/>
          <w:sz w:val="16"/>
          <w:szCs w:val="16"/>
        </w:rPr>
        <w:br/>
      </w:r>
      <w:r w:rsidR="00871E70" w:rsidRPr="00221B5B">
        <w:rPr>
          <w:rFonts w:ascii="Garamond" w:hAnsi="Garamond"/>
          <w:bCs/>
          <w:sz w:val="20"/>
          <w:szCs w:val="20"/>
        </w:rPr>
        <w:t xml:space="preserve">Before the Supreme Court decides a case, it looks to precedents—past Supreme Court decisions about the same topic—to help make the decision. It applies a doctrine called </w:t>
      </w:r>
      <w:r w:rsidR="00871E70" w:rsidRPr="00221B5B">
        <w:rPr>
          <w:rFonts w:ascii="Garamond" w:hAnsi="Garamond"/>
          <w:bCs/>
          <w:i/>
          <w:iCs/>
          <w:sz w:val="20"/>
          <w:szCs w:val="20"/>
        </w:rPr>
        <w:t>stare decisis</w:t>
      </w:r>
      <w:r w:rsidR="00871E70" w:rsidRPr="00221B5B">
        <w:rPr>
          <w:rFonts w:ascii="Garamond" w:hAnsi="Garamond"/>
          <w:bCs/>
          <w:sz w:val="20"/>
          <w:szCs w:val="20"/>
        </w:rPr>
        <w:t xml:space="preserve">, literally “let the decision stand.” </w:t>
      </w:r>
      <w:r w:rsidR="00871E70" w:rsidRPr="00221B5B">
        <w:rPr>
          <w:rFonts w:ascii="Garamond" w:hAnsi="Garamond"/>
          <w:bCs/>
          <w:i/>
          <w:sz w:val="20"/>
          <w:szCs w:val="20"/>
        </w:rPr>
        <w:t>Stare decisis</w:t>
      </w:r>
      <w:r w:rsidR="00871E70" w:rsidRPr="00221B5B">
        <w:rPr>
          <w:rFonts w:ascii="Garamond" w:hAnsi="Garamond"/>
          <w:bCs/>
          <w:sz w:val="20"/>
          <w:szCs w:val="20"/>
        </w:rPr>
        <w:t xml:space="preserve"> means that if the case being decided </w:t>
      </w:r>
      <w:r w:rsidR="00871E70" w:rsidRPr="00221B5B">
        <w:rPr>
          <w:rFonts w:ascii="Garamond" w:hAnsi="Garamond"/>
          <w:sz w:val="20"/>
          <w:szCs w:val="20"/>
        </w:rPr>
        <w:t xml:space="preserve">raises the same legal question as an earlier case decided by the Court, then the legal rule used to decide the earlier case should be used to decide the current case. </w:t>
      </w:r>
      <w:r w:rsidR="00871E70" w:rsidRPr="00221B5B">
        <w:rPr>
          <w:rFonts w:ascii="Garamond" w:hAnsi="Garamond"/>
          <w:bCs/>
          <w:sz w:val="20"/>
          <w:szCs w:val="20"/>
        </w:rPr>
        <w:t xml:space="preserve">Lower courts </w:t>
      </w:r>
      <w:r w:rsidR="00871E70" w:rsidRPr="00221B5B">
        <w:rPr>
          <w:rFonts w:ascii="Garamond" w:hAnsi="Garamond"/>
          <w:bCs/>
          <w:i/>
          <w:sz w:val="20"/>
          <w:szCs w:val="20"/>
        </w:rPr>
        <w:t>must</w:t>
      </w:r>
      <w:r w:rsidR="00871E70" w:rsidRPr="00221B5B">
        <w:rPr>
          <w:rFonts w:ascii="Garamond" w:hAnsi="Garamond"/>
          <w:bCs/>
          <w:sz w:val="20"/>
          <w:szCs w:val="20"/>
        </w:rPr>
        <w:t xml:space="preserve"> follow U.S. Supreme Court precedent.</w:t>
      </w:r>
      <w:r w:rsidR="006360A3" w:rsidRPr="00221B5B">
        <w:rPr>
          <w:rFonts w:ascii="Garamond" w:hAnsi="Garamond"/>
          <w:bCs/>
          <w:sz w:val="20"/>
          <w:szCs w:val="20"/>
        </w:rPr>
        <w:br/>
      </w:r>
      <w:r w:rsidR="006360A3" w:rsidRPr="00221B5B">
        <w:rPr>
          <w:rFonts w:ascii="Garamond" w:hAnsi="Garamond"/>
          <w:bCs/>
          <w:sz w:val="16"/>
          <w:szCs w:val="16"/>
        </w:rPr>
        <w:br/>
      </w:r>
      <w:r w:rsidR="00871E70" w:rsidRPr="00221B5B">
        <w:rPr>
          <w:rFonts w:ascii="Garamond" w:hAnsi="Garamond"/>
          <w:bCs/>
          <w:sz w:val="20"/>
          <w:szCs w:val="20"/>
        </w:rPr>
        <w:t xml:space="preserve">Only the U.S. Supreme Court can overrule one of its precedents. Because </w:t>
      </w:r>
      <w:r w:rsidR="00871E70" w:rsidRPr="00221B5B">
        <w:rPr>
          <w:rFonts w:ascii="Garamond" w:hAnsi="Garamond"/>
          <w:bCs/>
          <w:i/>
          <w:sz w:val="20"/>
          <w:szCs w:val="20"/>
        </w:rPr>
        <w:t>stare decisis</w:t>
      </w:r>
      <w:r w:rsidR="00871E70" w:rsidRPr="00221B5B">
        <w:rPr>
          <w:rFonts w:ascii="Garamond" w:hAnsi="Garamond"/>
          <w:bCs/>
          <w:sz w:val="20"/>
          <w:szCs w:val="20"/>
        </w:rPr>
        <w:t xml:space="preserve"> promotes important values, such as stability and predictability of the law, the Supreme Court requires a special justification before it will overrule a precedent. Historically, the Supreme Court has considered various factors when deciding whether to overrule a precedent, including: </w:t>
      </w:r>
      <w:r w:rsidR="00871E70" w:rsidRPr="00221B5B">
        <w:rPr>
          <w:rFonts w:ascii="Garamond" w:hAnsi="Garamond"/>
          <w:sz w:val="20"/>
          <w:szCs w:val="20"/>
        </w:rPr>
        <w:t>(1)</w:t>
      </w:r>
      <w:r w:rsidR="00871E70" w:rsidRPr="00221B5B">
        <w:rPr>
          <w:rFonts w:ascii="Garamond" w:hAnsi="Garamond"/>
          <w:bCs/>
          <w:sz w:val="20"/>
          <w:szCs w:val="20"/>
        </w:rPr>
        <w:t xml:space="preserve"> the quality of the past decision’s reasoning, </w:t>
      </w:r>
      <w:r w:rsidR="00871E70" w:rsidRPr="00221B5B">
        <w:rPr>
          <w:rFonts w:ascii="Garamond" w:hAnsi="Garamond"/>
          <w:sz w:val="20"/>
          <w:szCs w:val="20"/>
        </w:rPr>
        <w:t>(2)</w:t>
      </w:r>
      <w:r w:rsidR="00871E70" w:rsidRPr="00221B5B">
        <w:rPr>
          <w:rFonts w:ascii="Garamond" w:hAnsi="Garamond"/>
          <w:bCs/>
          <w:sz w:val="20"/>
          <w:szCs w:val="20"/>
        </w:rPr>
        <w:t xml:space="preserve"> whether the decision is “unworkable” (meaning it has proven too difficult for lower courts to apply), </w:t>
      </w:r>
      <w:r w:rsidR="00871E70" w:rsidRPr="00221B5B">
        <w:rPr>
          <w:rFonts w:ascii="Garamond" w:hAnsi="Garamond"/>
          <w:sz w:val="20"/>
          <w:szCs w:val="20"/>
        </w:rPr>
        <w:t>(3)</w:t>
      </w:r>
      <w:r w:rsidR="00871E70" w:rsidRPr="00221B5B">
        <w:rPr>
          <w:rFonts w:ascii="Garamond" w:hAnsi="Garamond"/>
          <w:bCs/>
          <w:sz w:val="20"/>
          <w:szCs w:val="20"/>
        </w:rPr>
        <w:t xml:space="preserve"> changes in relevant facts and society’s norms, and </w:t>
      </w:r>
      <w:r w:rsidR="00871E70" w:rsidRPr="00221B5B">
        <w:rPr>
          <w:rFonts w:ascii="Garamond" w:hAnsi="Garamond"/>
          <w:sz w:val="20"/>
          <w:szCs w:val="20"/>
        </w:rPr>
        <w:t>(4)</w:t>
      </w:r>
      <w:r w:rsidR="00871E70" w:rsidRPr="00221B5B">
        <w:rPr>
          <w:rFonts w:ascii="Garamond" w:hAnsi="Garamond"/>
          <w:bCs/>
          <w:sz w:val="20"/>
          <w:szCs w:val="20"/>
        </w:rPr>
        <w:t xml:space="preserve"> whether individuals and companies who have come to rely on the decision would be harmed by overruling it.</w:t>
      </w:r>
      <w:r w:rsidR="006360A3" w:rsidRPr="00221B5B">
        <w:rPr>
          <w:rFonts w:ascii="Garamond" w:hAnsi="Garamond"/>
          <w:bCs/>
          <w:sz w:val="20"/>
          <w:szCs w:val="20"/>
        </w:rPr>
        <w:br/>
      </w:r>
      <w:r w:rsidR="006360A3" w:rsidRPr="00221B5B">
        <w:rPr>
          <w:rFonts w:ascii="Garamond" w:hAnsi="Garamond"/>
          <w:bCs/>
          <w:sz w:val="16"/>
          <w:szCs w:val="16"/>
        </w:rPr>
        <w:br/>
      </w:r>
      <w:r w:rsidR="00871E70" w:rsidRPr="00221B5B">
        <w:rPr>
          <w:rFonts w:ascii="Garamond" w:hAnsi="Garamond"/>
          <w:sz w:val="20"/>
          <w:szCs w:val="20"/>
        </w:rPr>
        <w:t xml:space="preserve">In </w:t>
      </w:r>
      <w:r w:rsidR="00871E70" w:rsidRPr="00221B5B">
        <w:rPr>
          <w:rFonts w:ascii="Garamond" w:hAnsi="Garamond"/>
          <w:i/>
          <w:sz w:val="20"/>
          <w:szCs w:val="20"/>
        </w:rPr>
        <w:t xml:space="preserve">Roe v. Wade </w:t>
      </w:r>
      <w:r w:rsidR="00871E70" w:rsidRPr="00221B5B">
        <w:rPr>
          <w:rFonts w:ascii="Garamond" w:hAnsi="Garamond"/>
          <w:sz w:val="20"/>
          <w:szCs w:val="20"/>
        </w:rPr>
        <w:t xml:space="preserve">(1973), the Supreme Court ruled that the right to privacy includes a person’s right to end a pregnancy. As with most constitutional rights, however, the government may place limits on this right. The government may limit the right to abortion if it can give a very good reason or </w:t>
      </w:r>
      <w:r w:rsidR="00871E70" w:rsidRPr="00221B5B">
        <w:rPr>
          <w:rFonts w:ascii="Garamond" w:hAnsi="Garamond"/>
          <w:bCs/>
          <w:sz w:val="20"/>
          <w:szCs w:val="20"/>
        </w:rPr>
        <w:t>“compelling government interest”</w:t>
      </w:r>
      <w:r w:rsidR="00871E70" w:rsidRPr="00221B5B">
        <w:rPr>
          <w:rFonts w:ascii="Garamond" w:hAnsi="Garamond"/>
          <w:sz w:val="20"/>
          <w:szCs w:val="20"/>
        </w:rPr>
        <w:t xml:space="preserve"> for the limitation—for example, protecting a person’s health or the life of a viable fetus (</w:t>
      </w:r>
      <w:r w:rsidR="00871E70" w:rsidRPr="00E45CC3">
        <w:rPr>
          <w:rFonts w:ascii="Garamond" w:hAnsi="Garamond"/>
          <w:sz w:val="14"/>
          <w:szCs w:val="14"/>
        </w:rPr>
        <w:t>a viable fetus is one that can survive outside the womb</w:t>
      </w:r>
      <w:r w:rsidR="00871E70" w:rsidRPr="00221B5B">
        <w:rPr>
          <w:rFonts w:ascii="Garamond" w:hAnsi="Garamond"/>
          <w:sz w:val="20"/>
          <w:szCs w:val="20"/>
        </w:rPr>
        <w:t xml:space="preserve">). </w:t>
      </w:r>
      <w:r w:rsidR="006360A3" w:rsidRPr="00221B5B">
        <w:rPr>
          <w:rFonts w:ascii="Garamond" w:hAnsi="Garamond"/>
          <w:sz w:val="20"/>
          <w:szCs w:val="20"/>
        </w:rPr>
        <w:br/>
      </w:r>
      <w:r w:rsidR="006360A3" w:rsidRPr="00221B5B">
        <w:rPr>
          <w:rFonts w:ascii="Garamond" w:hAnsi="Garamond"/>
          <w:sz w:val="16"/>
          <w:szCs w:val="16"/>
        </w:rPr>
        <w:br/>
      </w:r>
      <w:r w:rsidR="00871E70" w:rsidRPr="00221B5B">
        <w:rPr>
          <w:rFonts w:ascii="Garamond" w:hAnsi="Garamond"/>
          <w:sz w:val="20"/>
          <w:szCs w:val="20"/>
        </w:rPr>
        <w:t xml:space="preserve">Government interests may outweigh a person’s right to privacy in some circumstances. As a pregnancy proceeds, abortions become more dangerous, and, at some point, the developing fetus becomes viable. Therefore, the government may completely prohibit abortions during the end stage of pregnancy unless an abortion is necessary for the health of the pregnant person. </w:t>
      </w:r>
      <w:r w:rsidR="006360A3" w:rsidRPr="00221B5B">
        <w:rPr>
          <w:rFonts w:ascii="Garamond" w:hAnsi="Garamond"/>
          <w:sz w:val="20"/>
          <w:szCs w:val="20"/>
        </w:rPr>
        <w:br/>
      </w:r>
      <w:r w:rsidR="006360A3" w:rsidRPr="00221B5B">
        <w:rPr>
          <w:rFonts w:ascii="Garamond" w:hAnsi="Garamond"/>
          <w:sz w:val="16"/>
          <w:szCs w:val="16"/>
        </w:rPr>
        <w:br/>
      </w:r>
      <w:r w:rsidR="00871E70" w:rsidRPr="00221B5B">
        <w:rPr>
          <w:rFonts w:ascii="Garamond" w:hAnsi="Garamond"/>
          <w:sz w:val="20"/>
          <w:szCs w:val="20"/>
        </w:rPr>
        <w:t xml:space="preserve">Almost 20 years after </w:t>
      </w:r>
      <w:r w:rsidR="00871E70" w:rsidRPr="00221B5B">
        <w:rPr>
          <w:rFonts w:ascii="Garamond" w:hAnsi="Garamond"/>
          <w:i/>
          <w:sz w:val="20"/>
          <w:szCs w:val="20"/>
        </w:rPr>
        <w:t>Roe</w:t>
      </w:r>
      <w:r w:rsidR="00871E70" w:rsidRPr="00221B5B">
        <w:rPr>
          <w:rFonts w:ascii="Garamond" w:hAnsi="Garamond"/>
          <w:sz w:val="20"/>
          <w:szCs w:val="20"/>
        </w:rPr>
        <w:t xml:space="preserve">, in </w:t>
      </w:r>
      <w:r w:rsidR="00871E70" w:rsidRPr="00221B5B">
        <w:rPr>
          <w:rFonts w:ascii="Garamond" w:hAnsi="Garamond"/>
          <w:i/>
          <w:sz w:val="20"/>
          <w:szCs w:val="20"/>
        </w:rPr>
        <w:t xml:space="preserve">Casey v. Planned Parenthood </w:t>
      </w:r>
      <w:r w:rsidR="00871E70" w:rsidRPr="00221B5B">
        <w:rPr>
          <w:rFonts w:ascii="Garamond" w:hAnsi="Garamond"/>
          <w:sz w:val="20"/>
          <w:szCs w:val="20"/>
        </w:rPr>
        <w:t xml:space="preserve">(1992), the Supreme Court found that while a person has a right to an abortion before the fetus is viable as established in </w:t>
      </w:r>
      <w:r w:rsidR="00871E70" w:rsidRPr="00221B5B">
        <w:rPr>
          <w:rFonts w:ascii="Garamond" w:hAnsi="Garamond"/>
          <w:i/>
          <w:iCs/>
          <w:sz w:val="20"/>
          <w:szCs w:val="20"/>
        </w:rPr>
        <w:t>Roe</w:t>
      </w:r>
      <w:r w:rsidR="00871E70" w:rsidRPr="00221B5B">
        <w:rPr>
          <w:rFonts w:ascii="Garamond" w:hAnsi="Garamond"/>
          <w:sz w:val="20"/>
          <w:szCs w:val="20"/>
        </w:rPr>
        <w:t xml:space="preserve">, states can impose restrictions if they do not impose an </w:t>
      </w:r>
      <w:r w:rsidR="00871E70" w:rsidRPr="00221B5B">
        <w:rPr>
          <w:rFonts w:ascii="Garamond" w:hAnsi="Garamond"/>
          <w:bCs/>
          <w:sz w:val="20"/>
          <w:szCs w:val="20"/>
        </w:rPr>
        <w:t>“undue burden”</w:t>
      </w:r>
      <w:r w:rsidR="00871E70" w:rsidRPr="00221B5B">
        <w:rPr>
          <w:rFonts w:ascii="Garamond" w:hAnsi="Garamond"/>
          <w:sz w:val="20"/>
          <w:szCs w:val="20"/>
        </w:rPr>
        <w:t xml:space="preserve"> on a person’s ability to obtain an abortion. Laws that place an undue burden on a person’s right to an abortion are unconstitutional. </w:t>
      </w:r>
      <w:r w:rsidR="006360A3" w:rsidRPr="00221B5B">
        <w:rPr>
          <w:rFonts w:ascii="Garamond" w:hAnsi="Garamond"/>
          <w:sz w:val="20"/>
          <w:szCs w:val="20"/>
        </w:rPr>
        <w:br/>
      </w:r>
      <w:r w:rsidR="006360A3" w:rsidRPr="00221B5B">
        <w:rPr>
          <w:rFonts w:ascii="Garamond" w:hAnsi="Garamond"/>
          <w:sz w:val="16"/>
          <w:szCs w:val="16"/>
        </w:rPr>
        <w:br/>
      </w:r>
      <w:r w:rsidR="00871E70" w:rsidRPr="00221B5B">
        <w:rPr>
          <w:rFonts w:ascii="Garamond" w:hAnsi="Garamond"/>
          <w:sz w:val="20"/>
          <w:szCs w:val="20"/>
        </w:rPr>
        <w:t>Despite these Supreme Court rulings, the political debate over the right to abortion has continued. Recently, some states have passed laws that further restrict or discourage abortion. Most of these new laws either created outright bans on abortion during the pre-viability stage of pregnancy (meaning before the fetus is viable), or they created new standards for the operation of clinics that provide abortions. This case is about the first type of law, a ban on pre-viability abortions.</w:t>
      </w:r>
    </w:p>
    <w:p w14:paraId="21B78EDB" w14:textId="622818B2" w:rsidR="008E4E86" w:rsidRPr="00221B5B" w:rsidRDefault="00221B5B" w:rsidP="00221B5B">
      <w:pPr>
        <w:pStyle w:val="NoSpacing"/>
        <w:rPr>
          <w:rFonts w:ascii="Garamond" w:hAnsi="Garamond"/>
          <w:sz w:val="8"/>
          <w:szCs w:val="8"/>
        </w:rPr>
      </w:pPr>
      <w:r>
        <w:rPr>
          <w:rFonts w:ascii="Garamond" w:hAnsi="Garamond"/>
          <w:sz w:val="16"/>
          <w:szCs w:val="16"/>
        </w:rPr>
        <w:br/>
      </w:r>
      <w:r w:rsidR="00523F64" w:rsidRPr="00221B5B">
        <w:rPr>
          <w:rFonts w:ascii="Garamond" w:hAnsi="Garamond"/>
          <w:b/>
        </w:rPr>
        <w:t>Facts</w:t>
      </w:r>
      <w:r w:rsidR="00FA4705" w:rsidRPr="00221B5B">
        <w:rPr>
          <w:rFonts w:ascii="Garamond" w:hAnsi="Garamond"/>
          <w:b/>
        </w:rPr>
        <w:t>:</w:t>
      </w:r>
      <w:r w:rsidR="00FA4705" w:rsidRPr="00221B5B">
        <w:rPr>
          <w:rFonts w:ascii="Garamond" w:hAnsi="Garamond"/>
          <w:sz w:val="20"/>
          <w:szCs w:val="20"/>
        </w:rPr>
        <w:t xml:space="preserve"> </w:t>
      </w:r>
      <w:r w:rsidR="00871E70" w:rsidRPr="00221B5B">
        <w:rPr>
          <w:rFonts w:ascii="Garamond" w:hAnsi="Garamond"/>
          <w:sz w:val="20"/>
          <w:szCs w:val="20"/>
        </w:rPr>
        <w:t>This case involves a Mississippi law, the Gestational Age Act, which was enacted and became effective on March 19, 2018. The law states:</w:t>
      </w:r>
    </w:p>
    <w:p w14:paraId="322BA25D" w14:textId="77777777" w:rsidR="00594C38" w:rsidRPr="00594C38" w:rsidRDefault="008E4E86" w:rsidP="00CD2A24">
      <w:pPr>
        <w:pStyle w:val="NoSpacing"/>
        <w:numPr>
          <w:ilvl w:val="0"/>
          <w:numId w:val="6"/>
        </w:numPr>
        <w:rPr>
          <w:sz w:val="16"/>
          <w:szCs w:val="16"/>
        </w:rPr>
      </w:pPr>
      <w:r w:rsidRPr="00594C38">
        <w:rPr>
          <w:sz w:val="16"/>
          <w:szCs w:val="16"/>
        </w:rPr>
        <w:t xml:space="preserve">“a person shall not intentionally or knowingly perform, induce, or attempt to perform or induce an abortion,” if “the probable gestational age” of the fetus is “greater than fifteen (15) weeks.” </w:t>
      </w:r>
    </w:p>
    <w:p w14:paraId="57CB70A6" w14:textId="77777777" w:rsidR="00594C38" w:rsidRPr="00594C38" w:rsidRDefault="008E4E86" w:rsidP="00CD2A24">
      <w:pPr>
        <w:pStyle w:val="NoSpacing"/>
        <w:numPr>
          <w:ilvl w:val="0"/>
          <w:numId w:val="6"/>
        </w:numPr>
        <w:rPr>
          <w:sz w:val="16"/>
          <w:szCs w:val="16"/>
        </w:rPr>
      </w:pPr>
      <w:r w:rsidRPr="00594C38">
        <w:rPr>
          <w:sz w:val="16"/>
          <w:szCs w:val="16"/>
        </w:rPr>
        <w:t>“gestational age” or “probable gestational age” is calculated from the first day of the last menstrual period of the pregnant person.</w:t>
      </w:r>
    </w:p>
    <w:p w14:paraId="0F381574" w14:textId="77777777" w:rsidR="00594C38" w:rsidRPr="00594C38" w:rsidRDefault="008E4E86" w:rsidP="00CD2A24">
      <w:pPr>
        <w:pStyle w:val="NoSpacing"/>
        <w:numPr>
          <w:ilvl w:val="0"/>
          <w:numId w:val="6"/>
        </w:numPr>
        <w:rPr>
          <w:sz w:val="16"/>
          <w:szCs w:val="16"/>
        </w:rPr>
      </w:pPr>
      <w:r w:rsidRPr="00594C38">
        <w:rPr>
          <w:sz w:val="16"/>
          <w:szCs w:val="16"/>
        </w:rPr>
        <w:t xml:space="preserve">exceptions are made only for a “medical emergency” or a “severe fetal abnormality.” “medical emergency” is defined as a physical condition or illness that makes it necessary to perform an abortion to save a person’s life or to prevent “a serious risk of substantial and irreversible impairment of a major bodily function.” </w:t>
      </w:r>
    </w:p>
    <w:p w14:paraId="3552B5EA" w14:textId="77777777" w:rsidR="00594C38" w:rsidRPr="00594C38" w:rsidRDefault="008E4E86" w:rsidP="00CD2A24">
      <w:pPr>
        <w:pStyle w:val="NoSpacing"/>
        <w:numPr>
          <w:ilvl w:val="0"/>
          <w:numId w:val="6"/>
        </w:numPr>
        <w:rPr>
          <w:sz w:val="16"/>
          <w:szCs w:val="16"/>
        </w:rPr>
      </w:pPr>
      <w:r w:rsidRPr="00594C38">
        <w:rPr>
          <w:sz w:val="16"/>
          <w:szCs w:val="16"/>
        </w:rPr>
        <w:t>“severe fetal abnormality” is defined as “a life-threatening physical condition that, in reasonable medical judgment, regardless of the provision of life-saving medical treatment, is incompatible with life outside the womb.”</w:t>
      </w:r>
    </w:p>
    <w:p w14:paraId="140BE440" w14:textId="10981462" w:rsidR="008E4E86" w:rsidRPr="00594C38" w:rsidRDefault="008E4E86" w:rsidP="00CD2A24">
      <w:pPr>
        <w:pStyle w:val="NoSpacing"/>
        <w:numPr>
          <w:ilvl w:val="0"/>
          <w:numId w:val="6"/>
        </w:numPr>
        <w:rPr>
          <w:sz w:val="16"/>
          <w:szCs w:val="16"/>
        </w:rPr>
      </w:pPr>
      <w:r w:rsidRPr="00594C38">
        <w:rPr>
          <w:sz w:val="16"/>
          <w:szCs w:val="16"/>
        </w:rPr>
        <w:t>“A physician who intentionally or knowingly violates” the law “commits an act of unprofessional conduct and his or her license to practice medicine in the State of Mississippi shall be suspended or revoked pursuant to action by the Mississippi State Board of Medical Licensure.”</w:t>
      </w:r>
    </w:p>
    <w:p w14:paraId="1E43471F" w14:textId="586187BF" w:rsidR="00221B5B" w:rsidRPr="00E45CC3" w:rsidRDefault="00871E70" w:rsidP="00E45CC3">
      <w:pPr>
        <w:pStyle w:val="NoSpacing"/>
        <w:rPr>
          <w:rFonts w:ascii="Times New Roman" w:hAnsi="Times New Roman" w:cs="Times New Roman"/>
        </w:rPr>
      </w:pPr>
      <w:r w:rsidRPr="00E45CC3">
        <w:rPr>
          <w:rFonts w:ascii="Garamond" w:hAnsi="Garamond"/>
          <w:sz w:val="20"/>
          <w:szCs w:val="20"/>
        </w:rPr>
        <w:t xml:space="preserve">When passing the law, the Mississippi Legislature identified three state interests concerning abortion: </w:t>
      </w:r>
      <w:r w:rsidRPr="00E45CC3">
        <w:rPr>
          <w:rFonts w:ascii="Garamond" w:hAnsi="Garamond"/>
          <w:bCs/>
          <w:sz w:val="20"/>
          <w:szCs w:val="20"/>
        </w:rPr>
        <w:t>(1)</w:t>
      </w:r>
      <w:r w:rsidRPr="00E45CC3">
        <w:rPr>
          <w:rFonts w:ascii="Garamond" w:hAnsi="Garamond"/>
          <w:sz w:val="20"/>
          <w:szCs w:val="20"/>
        </w:rPr>
        <w:t xml:space="preserve"> protecting the life of the unborn; </w:t>
      </w:r>
      <w:r w:rsidRPr="00E45CC3">
        <w:rPr>
          <w:rFonts w:ascii="Garamond" w:hAnsi="Garamond"/>
          <w:bCs/>
          <w:sz w:val="20"/>
          <w:szCs w:val="20"/>
        </w:rPr>
        <w:t>(2)</w:t>
      </w:r>
      <w:r w:rsidRPr="00E45CC3">
        <w:rPr>
          <w:rFonts w:ascii="Garamond" w:hAnsi="Garamond"/>
          <w:sz w:val="20"/>
          <w:szCs w:val="20"/>
        </w:rPr>
        <w:t xml:space="preserve"> protecting the medical profession; and </w:t>
      </w:r>
      <w:r w:rsidRPr="00E45CC3">
        <w:rPr>
          <w:rFonts w:ascii="Garamond" w:hAnsi="Garamond"/>
          <w:bCs/>
          <w:sz w:val="20"/>
          <w:szCs w:val="20"/>
        </w:rPr>
        <w:t>(3)</w:t>
      </w:r>
      <w:r w:rsidRPr="00E45CC3">
        <w:rPr>
          <w:rFonts w:ascii="Garamond" w:hAnsi="Garamond"/>
          <w:sz w:val="20"/>
          <w:szCs w:val="20"/>
        </w:rPr>
        <w:t xml:space="preserve"> protecting the health of people who are pregnant.</w:t>
      </w:r>
      <w:r w:rsidR="00523F64" w:rsidRPr="00E45CC3">
        <w:rPr>
          <w:rFonts w:ascii="Garamond" w:hAnsi="Garamond"/>
          <w:sz w:val="20"/>
          <w:szCs w:val="20"/>
        </w:rPr>
        <w:br/>
      </w:r>
      <w:r w:rsidR="00523F64" w:rsidRPr="00E45CC3">
        <w:rPr>
          <w:rFonts w:ascii="Garamond" w:hAnsi="Garamond"/>
          <w:sz w:val="16"/>
          <w:szCs w:val="16"/>
        </w:rPr>
        <w:br/>
      </w:r>
      <w:r w:rsidRPr="00E45CC3">
        <w:rPr>
          <w:rFonts w:ascii="Garamond" w:hAnsi="Garamond"/>
          <w:sz w:val="20"/>
          <w:szCs w:val="20"/>
        </w:rPr>
        <w:t>In this case, the petitioners are Thomas Dobbs, M.D., in his official capacity as state health officer of the Mississippi Department of Health, and Kenneth Cleveland, M.D., in his official capacity as executive director of the Mississippi State Board of Medical Licensure. They represent the state of Mississippi and are defending the law. The respondents are Jackson Women’s Health Organization —the only</w:t>
      </w:r>
      <w:r w:rsidRPr="00FA4705">
        <w:rPr>
          <w:rFonts w:ascii="Garamond" w:hAnsi="Garamond"/>
          <w:b/>
          <w:sz w:val="20"/>
          <w:szCs w:val="20"/>
        </w:rPr>
        <w:t xml:space="preserve"> licensed abortion clinic in </w:t>
      </w:r>
      <w:r w:rsidRPr="00E45CC3">
        <w:rPr>
          <w:rFonts w:ascii="Garamond" w:hAnsi="Garamond"/>
          <w:sz w:val="20"/>
          <w:szCs w:val="20"/>
        </w:rPr>
        <w:t>Mississippi—and the clinic’s medical director, Sacheen Carr-Ellis, M.D. Jackson Women’s Health Organization offers abortion care to people up until their 16</w:t>
      </w:r>
      <w:r w:rsidRPr="00E45CC3">
        <w:rPr>
          <w:rFonts w:ascii="Garamond" w:hAnsi="Garamond"/>
          <w:sz w:val="20"/>
          <w:szCs w:val="20"/>
          <w:vertAlign w:val="superscript"/>
        </w:rPr>
        <w:t>th</w:t>
      </w:r>
      <w:r w:rsidRPr="00E45CC3">
        <w:rPr>
          <w:rFonts w:ascii="Garamond" w:hAnsi="Garamond"/>
          <w:sz w:val="20"/>
          <w:szCs w:val="20"/>
        </w:rPr>
        <w:t xml:space="preserve"> week of pregnancy. The abortion clinic challenged the law in the lower courts.</w:t>
      </w:r>
      <w:r w:rsidR="00523F64" w:rsidRPr="00E45CC3">
        <w:rPr>
          <w:sz w:val="20"/>
          <w:szCs w:val="20"/>
        </w:rPr>
        <w:br/>
      </w:r>
      <w:r w:rsidR="00A76370">
        <w:rPr>
          <w:rFonts w:ascii="Garamond" w:hAnsi="Garamond"/>
          <w:sz w:val="4"/>
          <w:szCs w:val="4"/>
        </w:rPr>
        <w:br/>
      </w:r>
      <w:r w:rsidR="00A76370">
        <w:rPr>
          <w:rFonts w:ascii="Garamond" w:hAnsi="Garamond"/>
          <w:sz w:val="4"/>
          <w:szCs w:val="4"/>
        </w:rPr>
        <w:lastRenderedPageBreak/>
        <w:br/>
      </w:r>
      <w:r w:rsidRPr="00E45CC3">
        <w:rPr>
          <w:rFonts w:ascii="Garamond" w:hAnsi="Garamond"/>
          <w:sz w:val="20"/>
          <w:szCs w:val="20"/>
        </w:rPr>
        <w:t xml:space="preserve">The day Mississippi enacted the 15-week ban, Jackson Women’s Health Organization filed a case in federal court seeking a temporary restraining order against its enforcement and challenged the constitutionality of the law. The U.S. District Court declared Mississippi’s ban on abortion after 15 weeks of pregnancy unconstitutional. The District Court wrote, because of the precedent set by </w:t>
      </w:r>
      <w:r w:rsidRPr="00E45CC3">
        <w:rPr>
          <w:rFonts w:ascii="Garamond" w:hAnsi="Garamond"/>
          <w:i/>
          <w:iCs/>
          <w:sz w:val="20"/>
          <w:szCs w:val="20"/>
        </w:rPr>
        <w:t>Casey</w:t>
      </w:r>
      <w:r w:rsidRPr="00E45CC3">
        <w:rPr>
          <w:rFonts w:ascii="Garamond" w:hAnsi="Garamond"/>
          <w:sz w:val="20"/>
          <w:szCs w:val="20"/>
        </w:rPr>
        <w:t xml:space="preserve">, “the ban’s lawfulness hinges on a single question: whether the 15-week mark is before or after viability.” The judge cited evidence showing viability begins between 23 and 24 weeks and ruled </w:t>
      </w:r>
      <w:r w:rsidRPr="00E45CC3">
        <w:rPr>
          <w:rFonts w:ascii="Garamond" w:hAnsi="Garamond" w:cs="Arial"/>
          <w:color w:val="202122"/>
          <w:sz w:val="20"/>
          <w:szCs w:val="20"/>
          <w:shd w:val="clear" w:color="auto" w:fill="FFFFFF"/>
        </w:rPr>
        <w:t>Mississippi had “no legitimate state interest strong enough, prior to viability, to justify a ban on abortions.”</w:t>
      </w:r>
      <w:r w:rsidR="00523F64" w:rsidRPr="00E45CC3">
        <w:rPr>
          <w:rFonts w:cs="Arial"/>
          <w:color w:val="202122"/>
          <w:sz w:val="20"/>
          <w:szCs w:val="20"/>
          <w:shd w:val="clear" w:color="auto" w:fill="FFFFFF"/>
        </w:rPr>
        <w:br/>
      </w:r>
      <w:r w:rsidR="00523F64" w:rsidRPr="00FA4705">
        <w:rPr>
          <w:rFonts w:cs="Arial"/>
          <w:color w:val="202122"/>
          <w:sz w:val="16"/>
          <w:szCs w:val="16"/>
          <w:shd w:val="clear" w:color="auto" w:fill="FFFFFF"/>
        </w:rPr>
        <w:br/>
      </w:r>
      <w:r w:rsidRPr="00215E25">
        <w:rPr>
          <w:rFonts w:ascii="Garamond" w:hAnsi="Garamond"/>
          <w:bCs/>
          <w:iCs/>
          <w:sz w:val="20"/>
          <w:szCs w:val="20"/>
        </w:rPr>
        <w:t xml:space="preserve">Mississippi appealed the decision to the Fifth Circuit Court of Appeals. As usual, the case was heard by a three-judge panel. In December 2019, the Court of Appeals affirmed the District Court’s decision that the law was unconstitutional explaining that under </w:t>
      </w:r>
      <w:r w:rsidRPr="00215E25">
        <w:rPr>
          <w:rFonts w:ascii="Garamond" w:hAnsi="Garamond"/>
          <w:bCs/>
          <w:sz w:val="20"/>
          <w:szCs w:val="20"/>
        </w:rPr>
        <w:t>Casey,</w:t>
      </w:r>
      <w:r w:rsidRPr="00215E25">
        <w:rPr>
          <w:rFonts w:ascii="Garamond" w:hAnsi="Garamond"/>
          <w:bCs/>
          <w:iCs/>
          <w:sz w:val="20"/>
          <w:szCs w:val="20"/>
        </w:rPr>
        <w:t xml:space="preserve"> “no state interest can justify a pre-viability abortion ban,” and </w:t>
      </w:r>
      <w:r w:rsidRPr="00215E25">
        <w:rPr>
          <w:rFonts w:ascii="Garamond" w:hAnsi="Garamond" w:cs="Arial"/>
          <w:bCs/>
          <w:iCs/>
          <w:color w:val="202122"/>
          <w:sz w:val="20"/>
          <w:szCs w:val="20"/>
          <w:shd w:val="clear" w:color="auto" w:fill="FFFFFF"/>
        </w:rPr>
        <w:t>“states may regulate abortion procedures prior to viability so long as they do not impose an undue burden on the [person’s] right, but they may not ban abortions.”</w:t>
      </w:r>
      <w:r w:rsidR="00523F64">
        <w:rPr>
          <w:rFonts w:cs="Arial"/>
          <w:b/>
          <w:bCs/>
          <w:iCs/>
          <w:color w:val="202122"/>
          <w:sz w:val="20"/>
          <w:szCs w:val="20"/>
          <w:shd w:val="clear" w:color="auto" w:fill="FFFFFF"/>
        </w:rPr>
        <w:br/>
      </w:r>
      <w:r w:rsidR="00523F64" w:rsidRPr="00E45CC3">
        <w:rPr>
          <w:rFonts w:cs="Arial"/>
          <w:b/>
          <w:bCs/>
          <w:iCs/>
          <w:color w:val="202122"/>
          <w:sz w:val="8"/>
          <w:szCs w:val="8"/>
          <w:shd w:val="clear" w:color="auto" w:fill="FFFFFF"/>
        </w:rPr>
        <w:br/>
      </w:r>
      <w:r w:rsidR="00347B12" w:rsidRPr="00E45CC3">
        <w:rPr>
          <w:rFonts w:ascii="Garamond" w:hAnsi="Garamond"/>
          <w:b/>
          <w:sz w:val="20"/>
          <w:szCs w:val="20"/>
        </w:rPr>
        <w:t>What would you tell a friend of yours that is not in this class why this case is important? What Rights Must the Court Balance?</w:t>
      </w:r>
      <w:r w:rsidR="00347B12">
        <w:t xml:space="preserve">  </w:t>
      </w:r>
      <w:r w:rsidR="00347B12">
        <w:rPr>
          <w:highlight w:val="green"/>
        </w:rPr>
        <w:t xml:space="preserve"> </w:t>
      </w:r>
      <w:r w:rsidR="00347B12" w:rsidRPr="00E45C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CC3" w:rsidRPr="00E45CC3">
        <w:rPr>
          <w:rFonts w:ascii="Times New Roman" w:hAnsi="Times New Roman" w:cs="Times New Roman"/>
          <w:sz w:val="24"/>
          <w:szCs w:val="24"/>
        </w:rPr>
        <w:t>________________________________________________________</w:t>
      </w:r>
      <w:r w:rsidR="00E45CC3" w:rsidRPr="0096180E">
        <w:rPr>
          <w:rFonts w:ascii="Times New Roman" w:hAnsi="Times New Roman" w:cs="Times New Roman"/>
          <w:sz w:val="24"/>
          <w:szCs w:val="24"/>
        </w:rPr>
        <w:t>__________________________________________________________________________________________________</w:t>
      </w:r>
    </w:p>
    <w:p w14:paraId="215AF321" w14:textId="71A830E5" w:rsidR="00347B12" w:rsidRPr="00E45CC3" w:rsidRDefault="00E45CC3" w:rsidP="00E45CC3">
      <w:pPr>
        <w:pStyle w:val="NoSpacing"/>
        <w:rPr>
          <w:rFonts w:ascii="Garamond" w:hAnsi="Garamond"/>
        </w:rPr>
      </w:pPr>
      <w:r>
        <w:rPr>
          <w:rFonts w:ascii="Garamond" w:hAnsi="Garamond"/>
          <w:b/>
          <w:sz w:val="16"/>
          <w:szCs w:val="16"/>
        </w:rPr>
        <w:br/>
      </w:r>
      <w:r w:rsidR="00347B12" w:rsidRPr="00E45CC3">
        <w:rPr>
          <w:rFonts w:ascii="Garamond" w:hAnsi="Garamond"/>
          <w:b/>
        </w:rPr>
        <w:t>Classifying Arguments:</w:t>
      </w:r>
      <w:r w:rsidR="00347B12" w:rsidRPr="00E45CC3">
        <w:rPr>
          <w:rFonts w:ascii="Garamond" w:hAnsi="Garamond"/>
        </w:rPr>
        <w:t xml:space="preserve">  </w:t>
      </w:r>
      <w:r w:rsidR="00347B12" w:rsidRPr="00E45CC3">
        <w:rPr>
          <w:rFonts w:ascii="Garamond" w:hAnsi="Garamond"/>
          <w:sz w:val="20"/>
          <w:szCs w:val="20"/>
        </w:rPr>
        <w:t>The following is a list of arguments in the </w:t>
      </w:r>
      <w:r w:rsidR="00347B12" w:rsidRPr="00E45CC3">
        <w:rPr>
          <w:rFonts w:ascii="Garamond" w:hAnsi="Garamond"/>
          <w:i/>
          <w:sz w:val="20"/>
          <w:szCs w:val="20"/>
        </w:rPr>
        <w:t xml:space="preserve">Dobbs v. Jackson Women's Health Organization </w:t>
      </w:r>
      <w:r w:rsidR="00347B12" w:rsidRPr="00E45CC3">
        <w:rPr>
          <w:rFonts w:ascii="Garamond" w:hAnsi="Garamond"/>
          <w:sz w:val="20"/>
          <w:szCs w:val="20"/>
        </w:rPr>
        <w:t xml:space="preserve">case. Read through each argument and decide whether it is an Arguments for </w:t>
      </w:r>
      <w:r w:rsidR="00347B12" w:rsidRPr="00E45CC3">
        <w:rPr>
          <w:rFonts w:ascii="Garamond" w:hAnsi="Garamond"/>
          <w:i/>
          <w:sz w:val="20"/>
          <w:szCs w:val="20"/>
        </w:rPr>
        <w:t>Dobbs</w:t>
      </w:r>
      <w:r w:rsidR="00347B12" w:rsidRPr="00E45CC3">
        <w:rPr>
          <w:rFonts w:ascii="Garamond" w:hAnsi="Garamond"/>
          <w:sz w:val="20"/>
          <w:szCs w:val="20"/>
        </w:rPr>
        <w:t xml:space="preserve"> (</w:t>
      </w:r>
      <w:r w:rsidR="00347B12" w:rsidRPr="00E45CC3">
        <w:rPr>
          <w:rFonts w:ascii="Garamond" w:hAnsi="Garamond"/>
          <w:i/>
          <w:sz w:val="20"/>
          <w:szCs w:val="20"/>
        </w:rPr>
        <w:t>D</w:t>
      </w:r>
      <w:r w:rsidR="00347B12" w:rsidRPr="00E45CC3">
        <w:rPr>
          <w:rFonts w:ascii="Garamond" w:hAnsi="Garamond"/>
          <w:sz w:val="20"/>
          <w:szCs w:val="20"/>
        </w:rPr>
        <w:t>) or i</w:t>
      </w:r>
      <w:r w:rsidR="00347B12" w:rsidRPr="00E45CC3">
        <w:rPr>
          <w:rFonts w:ascii="Garamond" w:hAnsi="Garamond"/>
          <w:i/>
          <w:sz w:val="20"/>
          <w:szCs w:val="20"/>
        </w:rPr>
        <w:t>f it</w:t>
      </w:r>
      <w:r w:rsidR="00347B12" w:rsidRPr="00E45CC3">
        <w:rPr>
          <w:rFonts w:ascii="Garamond" w:hAnsi="Garamond"/>
          <w:sz w:val="20"/>
          <w:szCs w:val="20"/>
        </w:rPr>
        <w:t xml:space="preserve"> supports the position of the </w:t>
      </w:r>
      <w:r w:rsidR="00347B12" w:rsidRPr="00E45CC3">
        <w:rPr>
          <w:rFonts w:ascii="Garamond" w:hAnsi="Garamond"/>
          <w:i/>
          <w:sz w:val="20"/>
          <w:szCs w:val="20"/>
        </w:rPr>
        <w:t>Jackson Women's Health Organization</w:t>
      </w:r>
      <w:r w:rsidR="00347B12" w:rsidRPr="00E45CC3">
        <w:rPr>
          <w:rFonts w:ascii="Garamond" w:hAnsi="Garamond"/>
          <w:sz w:val="20"/>
          <w:szCs w:val="20"/>
        </w:rPr>
        <w:t xml:space="preserve"> (</w:t>
      </w:r>
      <w:r w:rsidR="00347B12" w:rsidRPr="00E45CC3">
        <w:rPr>
          <w:rFonts w:ascii="Garamond" w:hAnsi="Garamond"/>
          <w:i/>
          <w:sz w:val="20"/>
          <w:szCs w:val="20"/>
        </w:rPr>
        <w:t>JWHO</w:t>
      </w:r>
      <w:r w:rsidR="00347B12" w:rsidRPr="00E45CC3">
        <w:rPr>
          <w:rFonts w:ascii="Garamond" w:hAnsi="Garamond"/>
          <w:sz w:val="20"/>
          <w:szCs w:val="20"/>
        </w:rPr>
        <w:t>). Place the appropriate mark in the blank provided</w:t>
      </w:r>
      <w:r w:rsidR="00980665">
        <w:rPr>
          <w:rFonts w:ascii="Garamond" w:hAnsi="Garamond"/>
          <w:sz w:val="20"/>
          <w:szCs w:val="20"/>
          <w:u w:val="single"/>
        </w:rPr>
        <w:t>.</w:t>
      </w:r>
      <w:bookmarkStart w:id="0" w:name="_GoBack"/>
      <w:bookmarkEnd w:id="0"/>
    </w:p>
    <w:p w14:paraId="6F12AF36" w14:textId="30098FF0" w:rsidR="006954E5" w:rsidRPr="00E45CC3" w:rsidRDefault="00E45CC3" w:rsidP="00E45CC3">
      <w:pPr>
        <w:pStyle w:val="NoSpacing"/>
        <w:rPr>
          <w:rFonts w:ascii="Garamond" w:hAnsi="Garamond"/>
          <w:sz w:val="20"/>
          <w:szCs w:val="20"/>
        </w:rPr>
      </w:pPr>
      <w:r>
        <w:rPr>
          <w:rFonts w:ascii="Garamond" w:hAnsi="Garamond"/>
          <w:i/>
          <w:sz w:val="16"/>
          <w:szCs w:val="16"/>
        </w:rPr>
        <w:br/>
      </w:r>
      <w:r w:rsidR="00347B12" w:rsidRPr="00E45CC3">
        <w:rPr>
          <w:rFonts w:ascii="Garamond" w:hAnsi="Garamond"/>
          <w:sz w:val="20"/>
          <w:szCs w:val="20"/>
        </w:rPr>
        <w:t>____1. (D/JWHO):  A state may prohibit abortions before viability because nothing in the Constitution’s text, structure, history, or tradition supports a right to abortion. The Constitution does not protect abortion.</w:t>
      </w:r>
    </w:p>
    <w:p w14:paraId="68B8EF33" w14:textId="115FB85F" w:rsidR="006954E5" w:rsidRPr="00E45CC3" w:rsidRDefault="006954E5"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____2. (D/JWHO): For nearly 50 years, two generations of people have come to depend on the availability of legal abortion. The right to make reproductive decisions has become critical to gender equality.</w:t>
      </w:r>
    </w:p>
    <w:p w14:paraId="1D26D073" w14:textId="77777777" w:rsidR="006954E5" w:rsidRPr="00E45CC3" w:rsidRDefault="006954E5"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 xml:space="preserve">____3. (D/JWHO): </w:t>
      </w:r>
      <w:r w:rsidRPr="00E45CC3">
        <w:rPr>
          <w:rFonts w:ascii="Garamond" w:hAnsi="Garamond"/>
          <w:sz w:val="20"/>
          <w:szCs w:val="20"/>
        </w:rPr>
        <w:t xml:space="preserve">In </w:t>
      </w:r>
      <w:r w:rsidRPr="00E45CC3">
        <w:rPr>
          <w:rFonts w:ascii="Garamond" w:hAnsi="Garamond"/>
          <w:i/>
          <w:iCs/>
          <w:sz w:val="20"/>
          <w:szCs w:val="20"/>
        </w:rPr>
        <w:t>Casey</w:t>
      </w:r>
      <w:r w:rsidRPr="00E45CC3">
        <w:rPr>
          <w:rFonts w:ascii="Garamond" w:hAnsi="Garamond"/>
          <w:sz w:val="20"/>
          <w:szCs w:val="20"/>
        </w:rPr>
        <w:t xml:space="preserve">, the Court carefully considered every argument Mississippi is making in this case for overruling </w:t>
      </w:r>
      <w:r w:rsidRPr="00E45CC3">
        <w:rPr>
          <w:rFonts w:ascii="Garamond" w:hAnsi="Garamond"/>
          <w:i/>
          <w:iCs/>
          <w:sz w:val="20"/>
          <w:szCs w:val="20"/>
        </w:rPr>
        <w:t>Roe</w:t>
      </w:r>
      <w:r w:rsidRPr="00E45CC3">
        <w:rPr>
          <w:rFonts w:ascii="Garamond" w:hAnsi="Garamond"/>
          <w:sz w:val="20"/>
          <w:szCs w:val="20"/>
        </w:rPr>
        <w:t>. After doing so, the Court reaffirmed that states cannot prohibit abortion before viability.</w:t>
      </w:r>
    </w:p>
    <w:p w14:paraId="210C7734" w14:textId="77777777" w:rsidR="006954E5" w:rsidRPr="00E45CC3" w:rsidRDefault="006954E5" w:rsidP="00E45CC3">
      <w:pPr>
        <w:pStyle w:val="NoSpacing"/>
        <w:rPr>
          <w:rFonts w:ascii="Garamond" w:hAnsi="Garamond"/>
          <w:sz w:val="16"/>
          <w:szCs w:val="16"/>
        </w:rPr>
      </w:pPr>
    </w:p>
    <w:p w14:paraId="0F2E0BF6" w14:textId="64DB03D9" w:rsidR="006954E5" w:rsidRPr="00E45CC3" w:rsidRDefault="00347B12" w:rsidP="00E45CC3">
      <w:pPr>
        <w:pStyle w:val="NoSpacing"/>
        <w:rPr>
          <w:rFonts w:ascii="Garamond" w:hAnsi="Garamond"/>
          <w:sz w:val="20"/>
          <w:szCs w:val="20"/>
        </w:rPr>
      </w:pPr>
      <w:r w:rsidRPr="00E45CC3">
        <w:rPr>
          <w:rFonts w:ascii="Garamond" w:hAnsi="Garamond"/>
          <w:sz w:val="20"/>
          <w:szCs w:val="20"/>
        </w:rPr>
        <w:t>____4. (D/JWHO): History does not show a deeply rooted right to abortion. In fact, history shows a long tradition of states restricting abortion.</w:t>
      </w:r>
    </w:p>
    <w:p w14:paraId="20E66034" w14:textId="3EE17BFB"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6954E5" w:rsidRPr="00E45CC3">
        <w:rPr>
          <w:rFonts w:ascii="Garamond" w:hAnsi="Garamond"/>
          <w:sz w:val="20"/>
          <w:szCs w:val="20"/>
        </w:rPr>
        <w:t>_</w:t>
      </w:r>
      <w:r w:rsidR="00347B12" w:rsidRPr="00E45CC3">
        <w:rPr>
          <w:rFonts w:ascii="Garamond" w:hAnsi="Garamond"/>
          <w:sz w:val="20"/>
          <w:szCs w:val="20"/>
        </w:rPr>
        <w:t xml:space="preserve">___5. (D/JWHO): </w:t>
      </w:r>
      <w:r w:rsidR="006954E5" w:rsidRPr="00E45CC3">
        <w:rPr>
          <w:rFonts w:ascii="Garamond" w:hAnsi="Garamond"/>
          <w:sz w:val="20"/>
          <w:szCs w:val="20"/>
        </w:rPr>
        <w:t>The Court has ruled that before the point of viability, no state interest is strong enough to outweigh a person’s liberty interest in deciding whether to carry their pregnancy to term.</w:t>
      </w:r>
    </w:p>
    <w:p w14:paraId="46D4AC63" w14:textId="43FFED09"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____6. (D/JWHO): A ban on elective abortions is constitutional if the state has a legitimate, compelling governmental interest.</w:t>
      </w:r>
    </w:p>
    <w:p w14:paraId="260A4B17" w14:textId="13AC5F76"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____7. (D/JWHO): The Mississippi law prohibits abortions after 15 weeks, with exceptions for medical emergency or severe fetal abnormality. The law furthers the state’s compelling interests in protecting unborn life, the pregnant person’s health, and the medical profession’s integrity.</w:t>
      </w:r>
    </w:p>
    <w:p w14:paraId="38CA2D7E" w14:textId="4C353A5A"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 xml:space="preserve">____8. (D/JWHO): </w:t>
      </w:r>
      <w:r w:rsidR="00347B12" w:rsidRPr="00E45CC3">
        <w:rPr>
          <w:rFonts w:ascii="Garamond" w:hAnsi="Garamond"/>
          <w:i/>
          <w:iCs/>
          <w:sz w:val="20"/>
          <w:szCs w:val="20"/>
        </w:rPr>
        <w:t>Roe</w:t>
      </w:r>
      <w:r w:rsidR="00347B12" w:rsidRPr="00E45CC3">
        <w:rPr>
          <w:rFonts w:ascii="Garamond" w:hAnsi="Garamond"/>
          <w:iCs/>
          <w:sz w:val="20"/>
          <w:szCs w:val="20"/>
        </w:rPr>
        <w:t xml:space="preserve"> </w:t>
      </w:r>
      <w:r w:rsidR="00347B12" w:rsidRPr="00E45CC3">
        <w:rPr>
          <w:rFonts w:ascii="Garamond" w:hAnsi="Garamond"/>
          <w:sz w:val="20"/>
          <w:szCs w:val="20"/>
        </w:rPr>
        <w:t xml:space="preserve">broke from prior cases by invoking a general “right of privacy” not found in the Constitution. </w:t>
      </w:r>
      <w:r w:rsidR="00347B12" w:rsidRPr="00E45CC3">
        <w:rPr>
          <w:rFonts w:ascii="Garamond" w:hAnsi="Garamond"/>
          <w:i/>
          <w:iCs/>
          <w:sz w:val="20"/>
          <w:szCs w:val="20"/>
        </w:rPr>
        <w:t>Casey</w:t>
      </w:r>
      <w:r w:rsidR="00347B12" w:rsidRPr="00E45CC3">
        <w:rPr>
          <w:rFonts w:ascii="Garamond" w:hAnsi="Garamond"/>
          <w:iCs/>
          <w:sz w:val="20"/>
          <w:szCs w:val="20"/>
        </w:rPr>
        <w:t xml:space="preserve"> </w:t>
      </w:r>
      <w:r w:rsidR="00347B12" w:rsidRPr="00E45CC3">
        <w:rPr>
          <w:rFonts w:ascii="Garamond" w:hAnsi="Garamond"/>
          <w:sz w:val="20"/>
          <w:szCs w:val="20"/>
        </w:rPr>
        <w:t xml:space="preserve">repeats </w:t>
      </w:r>
      <w:r w:rsidR="00347B12" w:rsidRPr="00E45CC3">
        <w:rPr>
          <w:rFonts w:ascii="Garamond" w:hAnsi="Garamond"/>
          <w:i/>
          <w:iCs/>
          <w:sz w:val="20"/>
          <w:szCs w:val="20"/>
        </w:rPr>
        <w:t>Roe</w:t>
      </w:r>
      <w:r w:rsidR="00347B12" w:rsidRPr="00E45CC3">
        <w:rPr>
          <w:rFonts w:ascii="Garamond" w:hAnsi="Garamond"/>
          <w:i/>
          <w:sz w:val="20"/>
          <w:szCs w:val="20"/>
        </w:rPr>
        <w:t>’s</w:t>
      </w:r>
      <w:r w:rsidR="00347B12" w:rsidRPr="00E45CC3">
        <w:rPr>
          <w:rFonts w:ascii="Garamond" w:hAnsi="Garamond"/>
          <w:sz w:val="20"/>
          <w:szCs w:val="20"/>
        </w:rPr>
        <w:t xml:space="preserve"> flaws by failing to tie a right to abortion to anything in the Constitution.</w:t>
      </w:r>
    </w:p>
    <w:p w14:paraId="7DFB003F" w14:textId="77777777" w:rsidR="008E4E86"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 xml:space="preserve">____9. (D/JWHO): </w:t>
      </w:r>
      <w:r w:rsidR="006954E5" w:rsidRPr="00E45CC3">
        <w:rPr>
          <w:rFonts w:ascii="Garamond" w:hAnsi="Garamond"/>
          <w:i/>
          <w:iCs/>
          <w:sz w:val="20"/>
          <w:szCs w:val="20"/>
        </w:rPr>
        <w:t>Stare decisis</w:t>
      </w:r>
      <w:r w:rsidR="006954E5" w:rsidRPr="00E45CC3">
        <w:rPr>
          <w:rFonts w:ascii="Garamond" w:hAnsi="Garamond"/>
          <w:sz w:val="20"/>
          <w:szCs w:val="20"/>
        </w:rPr>
        <w:t xml:space="preserve"> must be followed. If the Court breaks with precedent, it will be perceived as representing nothing more than the policy preferences of the majority of current justices. It is critical that justices follow precedent except in very limited cases. </w:t>
      </w:r>
    </w:p>
    <w:p w14:paraId="06159908" w14:textId="310C5E7F"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 xml:space="preserve">____10. (D/JWHO): </w:t>
      </w:r>
      <w:r w:rsidR="00347B12" w:rsidRPr="00E45CC3">
        <w:rPr>
          <w:rFonts w:ascii="Garamond" w:hAnsi="Garamond"/>
          <w:i/>
          <w:iCs/>
          <w:sz w:val="20"/>
          <w:szCs w:val="20"/>
        </w:rPr>
        <w:t>Stare decisis</w:t>
      </w:r>
      <w:r w:rsidR="00347B12" w:rsidRPr="00E45CC3">
        <w:rPr>
          <w:rFonts w:ascii="Garamond" w:hAnsi="Garamond"/>
          <w:sz w:val="20"/>
          <w:szCs w:val="20"/>
        </w:rPr>
        <w:t xml:space="preserve"> should not be followed. </w:t>
      </w:r>
      <w:r w:rsidR="00347B12" w:rsidRPr="00E45CC3">
        <w:rPr>
          <w:rFonts w:ascii="Garamond" w:hAnsi="Garamond"/>
          <w:iCs/>
          <w:sz w:val="20"/>
          <w:szCs w:val="20"/>
        </w:rPr>
        <w:t xml:space="preserve">Roe </w:t>
      </w:r>
      <w:r w:rsidR="00347B12" w:rsidRPr="00E45CC3">
        <w:rPr>
          <w:rFonts w:ascii="Garamond" w:hAnsi="Garamond"/>
          <w:sz w:val="20"/>
          <w:szCs w:val="20"/>
        </w:rPr>
        <w:t xml:space="preserve">and </w:t>
      </w:r>
      <w:r w:rsidR="00347B12" w:rsidRPr="00E45CC3">
        <w:rPr>
          <w:rFonts w:ascii="Garamond" w:hAnsi="Garamond"/>
          <w:iCs/>
          <w:sz w:val="20"/>
          <w:szCs w:val="20"/>
        </w:rPr>
        <w:t xml:space="preserve">Casey </w:t>
      </w:r>
      <w:r w:rsidR="00347B12" w:rsidRPr="00E45CC3">
        <w:rPr>
          <w:rFonts w:ascii="Garamond" w:hAnsi="Garamond"/>
          <w:sz w:val="20"/>
          <w:szCs w:val="20"/>
        </w:rPr>
        <w:t>were decided incorrectly, and they should be overruled.</w:t>
      </w:r>
    </w:p>
    <w:p w14:paraId="5AE3810F" w14:textId="7E920260" w:rsidR="006954E5" w:rsidRPr="00E45CC3"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____11. (D/JWHO): The fact that the specific words “pregnancy” or “abortion” do not appear in the Constitution’s text is not important. The constitutional question here is whether general principles grounded in the Constitution apply to the specific situation at hand.</w:t>
      </w:r>
    </w:p>
    <w:p w14:paraId="06CE541E" w14:textId="741B5817" w:rsidR="00347B12" w:rsidRDefault="008E4E86" w:rsidP="00E45CC3">
      <w:pPr>
        <w:pStyle w:val="NoSpacing"/>
        <w:rPr>
          <w:rFonts w:ascii="Garamond" w:hAnsi="Garamond"/>
          <w:sz w:val="20"/>
          <w:szCs w:val="20"/>
        </w:rPr>
      </w:pPr>
      <w:r w:rsidRPr="00E45CC3">
        <w:rPr>
          <w:rFonts w:ascii="Garamond" w:hAnsi="Garamond"/>
          <w:sz w:val="16"/>
          <w:szCs w:val="16"/>
        </w:rPr>
        <w:br/>
      </w:r>
      <w:r w:rsidR="00347B12" w:rsidRPr="00E45CC3">
        <w:rPr>
          <w:rFonts w:ascii="Garamond" w:hAnsi="Garamond"/>
          <w:sz w:val="20"/>
          <w:szCs w:val="20"/>
        </w:rPr>
        <w:t>____12. (D/JWHO): The right to decide whether to continue a pregnancy is grounded in the 14</w:t>
      </w:r>
      <w:r w:rsidR="00347B12" w:rsidRPr="00E45CC3">
        <w:rPr>
          <w:rFonts w:ascii="Garamond" w:hAnsi="Garamond"/>
          <w:sz w:val="20"/>
          <w:szCs w:val="20"/>
          <w:vertAlign w:val="superscript"/>
        </w:rPr>
        <w:t>th</w:t>
      </w:r>
      <w:r w:rsidR="00347B12" w:rsidRPr="00E45CC3">
        <w:rPr>
          <w:rFonts w:ascii="Garamond" w:hAnsi="Garamond"/>
          <w:sz w:val="20"/>
          <w:szCs w:val="20"/>
        </w:rPr>
        <w:t xml:space="preserve"> Amendment’s protection against depriving a person of liberty without due process of law. Liberty includes the right to make family decisions and the right to make decisions about one’s own body.</w:t>
      </w:r>
    </w:p>
    <w:p w14:paraId="580F531B" w14:textId="5EF40A40" w:rsidR="00E45CC3" w:rsidRPr="00E45CC3" w:rsidRDefault="00E45CC3" w:rsidP="00E45CC3">
      <w:pPr>
        <w:pStyle w:val="NoSpacing"/>
        <w:rPr>
          <w:rFonts w:ascii="Garamond" w:hAnsi="Garamond"/>
          <w:sz w:val="16"/>
          <w:szCs w:val="16"/>
        </w:rPr>
      </w:pPr>
    </w:p>
    <w:p w14:paraId="35119475" w14:textId="77777777" w:rsidR="00597392" w:rsidRDefault="00E45CC3" w:rsidP="00347B12">
      <w:pPr>
        <w:pStyle w:val="NoSpacing"/>
        <w:rPr>
          <w:rFonts w:ascii="Garamond" w:hAnsi="Garamond" w:cs="Noto Serif"/>
          <w:sz w:val="17"/>
          <w:szCs w:val="17"/>
        </w:rPr>
      </w:pPr>
      <w:r w:rsidRPr="0096180E">
        <w:rPr>
          <w:rFonts w:ascii="Garamond" w:hAnsi="Garamond"/>
          <w:sz w:val="20"/>
          <w:szCs w:val="20"/>
        </w:rPr>
        <w:t xml:space="preserve">I found the argument above stated in #____ most compelling for </w:t>
      </w:r>
      <w:r w:rsidRPr="00E45CC3">
        <w:rPr>
          <w:rFonts w:ascii="Garamond" w:hAnsi="Garamond"/>
          <w:i/>
          <w:sz w:val="20"/>
          <w:szCs w:val="20"/>
        </w:rPr>
        <w:t>Dobbs</w:t>
      </w:r>
      <w:r w:rsidRPr="00E45CC3">
        <w:rPr>
          <w:rFonts w:ascii="Garamond" w:hAnsi="Garamond"/>
          <w:sz w:val="20"/>
          <w:szCs w:val="20"/>
        </w:rPr>
        <w:t xml:space="preserve"> </w:t>
      </w:r>
      <w:r>
        <w:rPr>
          <w:rFonts w:ascii="Garamond" w:hAnsi="Garamond"/>
          <w:sz w:val="20"/>
          <w:szCs w:val="20"/>
        </w:rPr>
        <w:t xml:space="preserve">(State of California) </w:t>
      </w:r>
      <w:r w:rsidRPr="0096180E">
        <w:rPr>
          <w:rFonts w:ascii="Garamond" w:hAnsi="Garamond"/>
          <w:sz w:val="20"/>
          <w:szCs w:val="20"/>
        </w:rPr>
        <w:t>because…</w:t>
      </w:r>
      <w:r w:rsidRPr="002E7AF4">
        <w:rPr>
          <w:rFonts w:ascii="Garamond" w:hAnsi="Garamond"/>
          <w:i/>
          <w:sz w:val="24"/>
          <w:szCs w:val="24"/>
        </w:rPr>
        <w:t xml:space="preserve"> </w:t>
      </w:r>
      <w:r>
        <w:rPr>
          <w:sz w:val="8"/>
          <w:szCs w:val="8"/>
        </w:rPr>
        <w:br/>
      </w:r>
      <w:r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96180E">
        <w:rPr>
          <w:rFonts w:ascii="Times New Roman" w:hAnsi="Times New Roman" w:cs="Times New Roman"/>
          <w:sz w:val="24"/>
          <w:szCs w:val="24"/>
        </w:rPr>
        <w:t>_</w:t>
      </w:r>
      <w:r>
        <w:br/>
      </w:r>
      <w:r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96180E">
        <w:rPr>
          <w:rFonts w:ascii="Times New Roman" w:hAnsi="Times New Roman" w:cs="Times New Roman"/>
          <w:sz w:val="24"/>
          <w:szCs w:val="24"/>
        </w:rPr>
        <w:t>_</w:t>
      </w:r>
      <w:r>
        <w:br/>
      </w:r>
      <w:r>
        <w:rPr>
          <w:rFonts w:ascii="Garamond" w:hAnsi="Garamond"/>
          <w:sz w:val="4"/>
          <w:szCs w:val="4"/>
        </w:rPr>
        <w:br/>
      </w:r>
      <w:r>
        <w:rPr>
          <w:rFonts w:ascii="Garamond" w:hAnsi="Garamond"/>
          <w:sz w:val="4"/>
          <w:szCs w:val="4"/>
        </w:rPr>
        <w:br/>
      </w:r>
      <w:r w:rsidRPr="0096180E">
        <w:rPr>
          <w:rFonts w:ascii="Garamond" w:hAnsi="Garamond"/>
          <w:sz w:val="20"/>
          <w:szCs w:val="20"/>
        </w:rPr>
        <w:t xml:space="preserve">I found the argument above stated in #____ most compelling for </w:t>
      </w:r>
      <w:r w:rsidRPr="00E45CC3">
        <w:rPr>
          <w:rFonts w:ascii="Garamond" w:hAnsi="Garamond"/>
          <w:i/>
          <w:sz w:val="20"/>
          <w:szCs w:val="20"/>
        </w:rPr>
        <w:t>Jackson Women's Health Organization</w:t>
      </w:r>
      <w:r w:rsidRPr="00E45CC3">
        <w:rPr>
          <w:rFonts w:ascii="Garamond" w:hAnsi="Garamond"/>
          <w:sz w:val="20"/>
          <w:szCs w:val="20"/>
        </w:rPr>
        <w:t xml:space="preserve"> </w:t>
      </w:r>
      <w:r w:rsidRPr="0096180E">
        <w:rPr>
          <w:rFonts w:ascii="Garamond" w:hAnsi="Garamond"/>
          <w:sz w:val="20"/>
          <w:szCs w:val="20"/>
        </w:rPr>
        <w:t>because…</w:t>
      </w:r>
      <w:r w:rsidRPr="001F3210">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406">
        <w:rPr>
          <w:rFonts w:ascii="Times New Roman" w:hAnsi="Times New Roman" w:cs="Times New Roman"/>
          <w:b/>
          <w:sz w:val="24"/>
          <w:szCs w:val="24"/>
        </w:rPr>
        <w:t>__</w:t>
      </w:r>
      <w:r w:rsidR="00056406">
        <w:rPr>
          <w:rFonts w:ascii="Times New Roman" w:hAnsi="Times New Roman" w:cs="Times New Roman"/>
          <w:b/>
          <w:sz w:val="24"/>
          <w:szCs w:val="24"/>
        </w:rPr>
        <w:br/>
      </w:r>
    </w:p>
    <w:p w14:paraId="0681E982" w14:textId="77777777" w:rsidR="00597392" w:rsidRDefault="00597392" w:rsidP="00347B12">
      <w:pPr>
        <w:pStyle w:val="NoSpacing"/>
        <w:rPr>
          <w:rFonts w:ascii="Garamond" w:hAnsi="Garamond" w:cs="Noto Serif"/>
          <w:sz w:val="17"/>
          <w:szCs w:val="17"/>
        </w:rPr>
      </w:pPr>
    </w:p>
    <w:p w14:paraId="71A33298" w14:textId="77777777" w:rsidR="00597392" w:rsidRDefault="00597392" w:rsidP="00347B12">
      <w:pPr>
        <w:pStyle w:val="NoSpacing"/>
        <w:rPr>
          <w:rFonts w:ascii="Garamond" w:hAnsi="Garamond" w:cs="Noto Serif"/>
          <w:sz w:val="17"/>
          <w:szCs w:val="17"/>
          <w:highlight w:val="green"/>
        </w:rPr>
      </w:pPr>
    </w:p>
    <w:p w14:paraId="498A4FCB" w14:textId="77777777" w:rsidR="00597392" w:rsidRDefault="00597392" w:rsidP="00347B12">
      <w:pPr>
        <w:pStyle w:val="NoSpacing"/>
        <w:rPr>
          <w:rFonts w:ascii="Garamond" w:hAnsi="Garamond" w:cs="Noto Serif"/>
          <w:sz w:val="17"/>
          <w:szCs w:val="17"/>
          <w:highlight w:val="green"/>
        </w:rPr>
      </w:pPr>
    </w:p>
    <w:p w14:paraId="2F2459C3" w14:textId="77777777" w:rsidR="00597392" w:rsidRDefault="00597392" w:rsidP="00347B12">
      <w:pPr>
        <w:pStyle w:val="NoSpacing"/>
        <w:rPr>
          <w:rFonts w:ascii="Garamond" w:hAnsi="Garamond" w:cs="Noto Serif"/>
          <w:sz w:val="17"/>
          <w:szCs w:val="17"/>
          <w:highlight w:val="green"/>
        </w:rPr>
      </w:pPr>
    </w:p>
    <w:p w14:paraId="4580B11C" w14:textId="37A8B418" w:rsidR="00597392" w:rsidRDefault="00597392" w:rsidP="00347B12">
      <w:pPr>
        <w:pStyle w:val="NoSpacing"/>
        <w:rPr>
          <w:rFonts w:ascii="Garamond" w:hAnsi="Garamond" w:cs="Noto Serif"/>
        </w:rPr>
      </w:pPr>
      <w:r w:rsidRPr="00597392">
        <w:rPr>
          <w:rFonts w:ascii="Garamond" w:hAnsi="Garamond" w:cs="Noto Serif"/>
          <w:sz w:val="17"/>
          <w:szCs w:val="17"/>
          <w:highlight w:val="green"/>
        </w:rPr>
        <w:t xml:space="preserve">Go to : </w:t>
      </w:r>
      <w:r w:rsidRPr="00597392">
        <w:rPr>
          <w:rStyle w:val="Emphasis"/>
          <w:rFonts w:ascii="Garamond" w:hAnsi="Garamond" w:cs="Noto Serif"/>
          <w:sz w:val="17"/>
          <w:szCs w:val="17"/>
          <w:highlight w:val="green"/>
        </w:rPr>
        <w:t>Dobbs v. Jackson Whole Women’s Health</w:t>
      </w:r>
      <w:r w:rsidRPr="00597392">
        <w:rPr>
          <w:rFonts w:ascii="Garamond" w:hAnsi="Garamond" w:cs="Noto Serif"/>
          <w:sz w:val="17"/>
          <w:szCs w:val="17"/>
          <w:highlight w:val="green"/>
        </w:rPr>
        <w:t xml:space="preserve"> </w:t>
      </w:r>
      <w:r w:rsidRPr="00597392">
        <w:rPr>
          <w:rStyle w:val="Strong"/>
          <w:rFonts w:ascii="Garamond" w:hAnsi="Garamond" w:cs="Noto Serif"/>
          <w:sz w:val="17"/>
          <w:szCs w:val="17"/>
          <w:highlight w:val="green"/>
        </w:rPr>
        <w:t>Resource Website</w:t>
      </w:r>
      <w:r w:rsidRPr="00597392">
        <w:rPr>
          <w:rFonts w:ascii="Garamond" w:hAnsi="Garamond" w:cs="Noto Serif"/>
          <w:sz w:val="17"/>
          <w:szCs w:val="17"/>
          <w:highlight w:val="green"/>
        </w:rPr>
        <w:t xml:space="preserve"> </w:t>
      </w:r>
      <w:proofErr w:type="spellStart"/>
      <w:r w:rsidRPr="00597392">
        <w:rPr>
          <w:rStyle w:val="Strong"/>
          <w:rFonts w:ascii="Garamond" w:hAnsi="Garamond" w:cs="Noto Serif"/>
          <w:sz w:val="17"/>
          <w:szCs w:val="17"/>
          <w:highlight w:val="green"/>
        </w:rPr>
        <w:t>Ballotpedia</w:t>
      </w:r>
      <w:proofErr w:type="spellEnd"/>
      <w:r w:rsidRPr="00597392">
        <w:rPr>
          <w:rFonts w:ascii="Garamond" w:hAnsi="Garamond" w:cs="Noto Serif"/>
          <w:sz w:val="17"/>
          <w:szCs w:val="17"/>
          <w:highlight w:val="green"/>
        </w:rPr>
        <w:t xml:space="preserve">: </w:t>
      </w:r>
      <w:hyperlink r:id="rId11" w:history="1">
        <w:r w:rsidRPr="00597392">
          <w:rPr>
            <w:rStyle w:val="Hyperlink"/>
            <w:rFonts w:cs="Noto Serif"/>
            <w:sz w:val="17"/>
            <w:szCs w:val="17"/>
            <w:highlight w:val="green"/>
          </w:rPr>
          <w:t>https://ballotpedia.org/Dobbs_v._Jackson_Women%E2%80%99s_Health_Organization</w:t>
        </w:r>
      </w:hyperlink>
      <w:r>
        <w:rPr>
          <w:rFonts w:ascii="Noto Serif" w:hAnsi="Noto Serif" w:cs="Noto Serif"/>
        </w:rPr>
        <w:br/>
      </w:r>
      <w:r>
        <w:rPr>
          <w:rFonts w:ascii="Noto Serif" w:hAnsi="Noto Serif" w:cs="Noto Serif"/>
        </w:rPr>
        <w:br/>
      </w:r>
      <w:r w:rsidRPr="00597392">
        <w:rPr>
          <w:rFonts w:ascii="Garamond" w:hAnsi="Garamond" w:cs="Noto Serif"/>
        </w:rPr>
        <w:t>What was the Gestational Age Act?</w:t>
      </w:r>
      <w:r w:rsidRPr="00597392">
        <w:rPr>
          <w:rFonts w:ascii="Garamond" w:hAnsi="Garamond" w:cs="Noto Serif"/>
        </w:rPr>
        <w:br/>
      </w:r>
      <w:r>
        <w:rPr>
          <w:rFonts w:ascii="Times New Roman" w:hAnsi="Times New Roman" w:cs="Times New Roman"/>
          <w:b/>
          <w:sz w:val="8"/>
          <w:szCs w:val="8"/>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r w:rsidRPr="00E45CC3">
        <w:rPr>
          <w:rFonts w:ascii="Times New Roman" w:hAnsi="Times New Roman" w:cs="Times New Roman"/>
          <w:b/>
          <w:sz w:val="24"/>
          <w:szCs w:val="24"/>
        </w:rPr>
        <w:t>________________________________________________________________________________________________</w:t>
      </w:r>
      <w:r>
        <w:rPr>
          <w:rFonts w:ascii="Times New Roman" w:hAnsi="Times New Roman" w:cs="Times New Roman"/>
          <w:b/>
          <w:sz w:val="24"/>
          <w:szCs w:val="24"/>
        </w:rPr>
        <w:t>__</w:t>
      </w:r>
    </w:p>
    <w:p w14:paraId="4509B926" w14:textId="77777777" w:rsidR="00597392" w:rsidRDefault="00597392" w:rsidP="00347B12">
      <w:pPr>
        <w:pStyle w:val="NoSpacing"/>
        <w:rPr>
          <w:rFonts w:ascii="Garamond" w:hAnsi="Garamond" w:cs="Noto Serif"/>
        </w:rPr>
      </w:pPr>
    </w:p>
    <w:p w14:paraId="7506C50F" w14:textId="6827664F" w:rsidR="00597392" w:rsidRDefault="00597392" w:rsidP="00347B12">
      <w:pPr>
        <w:pStyle w:val="NoSpacing"/>
        <w:rPr>
          <w:rFonts w:ascii="Garamond" w:hAnsi="Garamond" w:cs="Noto Serif"/>
        </w:rPr>
      </w:pPr>
      <w:r w:rsidRPr="00597392">
        <w:rPr>
          <w:rFonts w:ascii="Garamond" w:hAnsi="Garamond" w:cs="Noto Serif"/>
        </w:rPr>
        <w:t>What did the U.S. District Court for the Southern District of Mississippi conclude? What did its summary judgment hold?  </w:t>
      </w:r>
      <w:r w:rsidRPr="00597392">
        <w:rPr>
          <w:rFonts w:ascii="Garamond" w:hAnsi="Garamond" w:cs="Noto Serif"/>
        </w:rPr>
        <w:br/>
      </w:r>
      <w:r>
        <w:rPr>
          <w:rFonts w:ascii="Times New Roman" w:hAnsi="Times New Roman" w:cs="Times New Roman"/>
          <w:b/>
          <w:sz w:val="8"/>
          <w:szCs w:val="8"/>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r w:rsidRPr="00E45CC3">
        <w:rPr>
          <w:rFonts w:ascii="Times New Roman" w:hAnsi="Times New Roman" w:cs="Times New Roman"/>
          <w:b/>
          <w:sz w:val="24"/>
          <w:szCs w:val="24"/>
        </w:rPr>
        <w:t>________________________________________________________________________________________________</w:t>
      </w:r>
      <w:r>
        <w:rPr>
          <w:rFonts w:ascii="Times New Roman" w:hAnsi="Times New Roman" w:cs="Times New Roman"/>
          <w:b/>
          <w:sz w:val="24"/>
          <w:szCs w:val="24"/>
        </w:rPr>
        <w:t>__</w:t>
      </w:r>
    </w:p>
    <w:p w14:paraId="470E82C6" w14:textId="77777777" w:rsidR="00597392" w:rsidRDefault="00597392" w:rsidP="00347B12">
      <w:pPr>
        <w:pStyle w:val="NoSpacing"/>
        <w:rPr>
          <w:rFonts w:ascii="Garamond" w:hAnsi="Garamond" w:cs="Noto Serif"/>
        </w:rPr>
      </w:pPr>
    </w:p>
    <w:p w14:paraId="44A2AD35" w14:textId="282FA660" w:rsidR="00597392" w:rsidRDefault="00597392" w:rsidP="00347B12">
      <w:pPr>
        <w:pStyle w:val="NoSpacing"/>
        <w:rPr>
          <w:rFonts w:ascii="Garamond" w:hAnsi="Garamond" w:cs="Noto Serif"/>
        </w:rPr>
      </w:pPr>
      <w:r w:rsidRPr="00597392">
        <w:rPr>
          <w:rFonts w:ascii="Garamond" w:hAnsi="Garamond" w:cs="Noto Serif"/>
        </w:rPr>
        <w:t xml:space="preserve">Summarize the Opinion of the Majority </w:t>
      </w:r>
      <w:r w:rsidRPr="00597392">
        <w:rPr>
          <w:rStyle w:val="Strong"/>
          <w:rFonts w:ascii="Garamond" w:hAnsi="Garamond" w:cs="Noto Serif"/>
        </w:rPr>
        <w:t>in 2+ Sentences</w:t>
      </w:r>
      <w:r w:rsidRPr="00597392">
        <w:rPr>
          <w:rFonts w:ascii="Garamond" w:hAnsi="Garamond" w:cs="Noto Serif"/>
        </w:rPr>
        <w:t>.</w:t>
      </w:r>
      <w:r w:rsidRPr="00597392">
        <w:rPr>
          <w:rFonts w:ascii="Garamond" w:hAnsi="Garamond" w:cs="Noto Serif"/>
        </w:rPr>
        <w:br/>
      </w:r>
      <w:r>
        <w:rPr>
          <w:rFonts w:ascii="Times New Roman" w:hAnsi="Times New Roman" w:cs="Times New Roman"/>
          <w:b/>
          <w:sz w:val="8"/>
          <w:szCs w:val="8"/>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p>
    <w:p w14:paraId="35C6D6EA" w14:textId="4A8CD53E" w:rsidR="00597392" w:rsidRDefault="00597392" w:rsidP="00347B12">
      <w:pPr>
        <w:pStyle w:val="NoSpacing"/>
        <w:rPr>
          <w:rFonts w:ascii="Garamond" w:hAnsi="Garamond" w:cs="Noto Serif"/>
        </w:rPr>
      </w:pP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p>
    <w:p w14:paraId="7C844C2A" w14:textId="77777777" w:rsidR="00597392" w:rsidRDefault="00597392" w:rsidP="00347B12">
      <w:pPr>
        <w:pStyle w:val="NoSpacing"/>
        <w:rPr>
          <w:rFonts w:ascii="Garamond" w:hAnsi="Garamond" w:cs="Noto Serif"/>
        </w:rPr>
      </w:pPr>
    </w:p>
    <w:p w14:paraId="00379C1A" w14:textId="2AD9B1BC" w:rsidR="00597392" w:rsidRDefault="00597392" w:rsidP="00347B12">
      <w:pPr>
        <w:pStyle w:val="NoSpacing"/>
        <w:rPr>
          <w:rFonts w:ascii="Garamond" w:hAnsi="Garamond" w:cs="Noto Serif"/>
        </w:rPr>
      </w:pPr>
      <w:r w:rsidRPr="00597392">
        <w:rPr>
          <w:rFonts w:ascii="Garamond" w:hAnsi="Garamond" w:cs="Noto Serif"/>
        </w:rPr>
        <w:t xml:space="preserve">Summarize the Opinion of the Dissenters </w:t>
      </w:r>
      <w:r w:rsidRPr="00597392">
        <w:rPr>
          <w:rStyle w:val="Strong"/>
          <w:rFonts w:ascii="Garamond" w:hAnsi="Garamond" w:cs="Noto Serif"/>
        </w:rPr>
        <w:t>in 2+ Sentences</w:t>
      </w:r>
      <w:r w:rsidRPr="00597392">
        <w:rPr>
          <w:rFonts w:ascii="Garamond" w:hAnsi="Garamond" w:cs="Noto Serif"/>
        </w:rPr>
        <w:t xml:space="preserve"> .</w:t>
      </w:r>
      <w:r w:rsidRPr="00597392">
        <w:rPr>
          <w:rFonts w:ascii="Garamond" w:hAnsi="Garamond" w:cs="Noto Serif"/>
        </w:rPr>
        <w:br/>
      </w:r>
      <w:r>
        <w:rPr>
          <w:rFonts w:ascii="Times New Roman" w:hAnsi="Times New Roman" w:cs="Times New Roman"/>
          <w:b/>
          <w:sz w:val="8"/>
          <w:szCs w:val="8"/>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r w:rsidRPr="00E45CC3">
        <w:rPr>
          <w:rFonts w:ascii="Times New Roman" w:hAnsi="Times New Roman" w:cs="Times New Roman"/>
          <w:b/>
          <w:sz w:val="24"/>
          <w:szCs w:val="24"/>
        </w:rPr>
        <w:t>________________________________________________________________________________________________</w:t>
      </w:r>
      <w:r>
        <w:rPr>
          <w:rFonts w:ascii="Times New Roman" w:hAnsi="Times New Roman" w:cs="Times New Roman"/>
          <w:b/>
          <w:sz w:val="24"/>
          <w:szCs w:val="24"/>
        </w:rPr>
        <w:t>__</w:t>
      </w:r>
    </w:p>
    <w:p w14:paraId="7D11B023" w14:textId="77777777" w:rsidR="00597392" w:rsidRDefault="00597392" w:rsidP="00347B12">
      <w:pPr>
        <w:pStyle w:val="NoSpacing"/>
        <w:rPr>
          <w:rFonts w:ascii="Garamond" w:hAnsi="Garamond" w:cs="Noto Serif"/>
        </w:rPr>
      </w:pPr>
    </w:p>
    <w:p w14:paraId="0970ADFB" w14:textId="209464E9" w:rsidR="00347B12" w:rsidRDefault="00597392" w:rsidP="00347B12">
      <w:pPr>
        <w:pStyle w:val="NoSpacing"/>
        <w:rPr>
          <w:rFonts w:ascii="Garamond" w:hAnsi="Garamond"/>
          <w:sz w:val="20"/>
          <w:szCs w:val="20"/>
        </w:rPr>
      </w:pPr>
      <w:r w:rsidRPr="00597392">
        <w:rPr>
          <w:rFonts w:ascii="Garamond" w:hAnsi="Garamond" w:cs="Noto Serif"/>
        </w:rPr>
        <w:t>Evaluate the "Aftermath" and discuss your Reaction/Thought.</w:t>
      </w:r>
      <w:r>
        <w:rPr>
          <w:rFonts w:ascii="Noto Serif" w:hAnsi="Noto Serif" w:cs="Noto Serif"/>
        </w:rPr>
        <w:t>   </w:t>
      </w:r>
      <w:r w:rsidR="00E45CC3">
        <w:br/>
      </w:r>
      <w:r>
        <w:rPr>
          <w:rFonts w:ascii="Times New Roman" w:hAnsi="Times New Roman" w:cs="Times New Roman"/>
          <w:b/>
          <w:sz w:val="8"/>
          <w:szCs w:val="8"/>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w:t>
      </w:r>
      <w:r w:rsidRPr="00E45CC3">
        <w:rPr>
          <w:b/>
        </w:rPr>
        <w:br/>
      </w:r>
      <w:r w:rsidRPr="00E45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r w:rsidRPr="00E45CC3">
        <w:rPr>
          <w:rFonts w:ascii="Times New Roman" w:hAnsi="Times New Roman" w:cs="Times New Roman"/>
          <w:b/>
          <w:sz w:val="24"/>
          <w:szCs w:val="24"/>
        </w:rPr>
        <w:t>_______________________________________________________________________________________________</w:t>
      </w:r>
      <w:r>
        <w:rPr>
          <w:rFonts w:ascii="Times New Roman" w:hAnsi="Times New Roman" w:cs="Times New Roman"/>
          <w:b/>
          <w:sz w:val="24"/>
          <w:szCs w:val="24"/>
        </w:rPr>
        <w:t>__</w:t>
      </w:r>
      <w:r w:rsidR="00347B12">
        <w:rPr>
          <w:rFonts w:ascii="Garamond" w:hAnsi="Garamond"/>
          <w:sz w:val="20"/>
          <w:szCs w:val="20"/>
        </w:rPr>
        <w:t xml:space="preserve"> </w:t>
      </w:r>
      <w:r w:rsidR="00347B12" w:rsidRPr="005F4B9B">
        <w:rPr>
          <w:rFonts w:ascii="Garamond" w:hAnsi="Garamond"/>
          <w:sz w:val="20"/>
          <w:szCs w:val="20"/>
        </w:rPr>
        <w:t xml:space="preserve">  </w:t>
      </w:r>
    </w:p>
    <w:p w14:paraId="77EFF4AA" w14:textId="4B8A1C89" w:rsidR="00597392" w:rsidRDefault="00597392" w:rsidP="00347B12">
      <w:pPr>
        <w:pStyle w:val="NoSpacing"/>
        <w:rPr>
          <w:rFonts w:ascii="Garamond" w:hAnsi="Garamond"/>
          <w:sz w:val="20"/>
          <w:szCs w:val="20"/>
        </w:rPr>
      </w:pPr>
    </w:p>
    <w:p w14:paraId="0C759A80" w14:textId="16B4D51A" w:rsidR="00597392" w:rsidRDefault="00597392" w:rsidP="00347B12">
      <w:pPr>
        <w:pStyle w:val="NoSpacing"/>
        <w:rPr>
          <w:rFonts w:ascii="Garamond" w:hAnsi="Garamond"/>
          <w:sz w:val="20"/>
          <w:szCs w:val="20"/>
        </w:rPr>
      </w:pPr>
    </w:p>
    <w:p w14:paraId="32600D8E" w14:textId="29F4C286" w:rsidR="00597392" w:rsidRDefault="00597392" w:rsidP="00347B12">
      <w:pPr>
        <w:pStyle w:val="NoSpacing"/>
        <w:rPr>
          <w:rFonts w:ascii="Garamond" w:hAnsi="Garamond"/>
          <w:sz w:val="20"/>
          <w:szCs w:val="20"/>
        </w:rPr>
      </w:pPr>
    </w:p>
    <w:p w14:paraId="2DD76287" w14:textId="41ECB920" w:rsidR="00597392" w:rsidRPr="00597392" w:rsidRDefault="00597392" w:rsidP="00347B12">
      <w:pPr>
        <w:pStyle w:val="NoSpacing"/>
        <w:rPr>
          <w:rFonts w:ascii="Garamond" w:hAnsi="Garamond"/>
          <w:b/>
          <w:sz w:val="24"/>
          <w:szCs w:val="24"/>
        </w:rPr>
      </w:pPr>
      <w:r w:rsidRPr="00597392">
        <w:rPr>
          <w:rFonts w:ascii="Garamond" w:hAnsi="Garamond"/>
          <w:b/>
          <w:sz w:val="24"/>
          <w:szCs w:val="24"/>
          <w:highlight w:val="green"/>
        </w:rPr>
        <w:t>CONT</w:t>
      </w:r>
      <w:r w:rsidR="00A76370">
        <w:rPr>
          <w:rFonts w:ascii="Garamond" w:hAnsi="Garamond"/>
          <w:b/>
          <w:sz w:val="24"/>
          <w:szCs w:val="24"/>
          <w:highlight w:val="green"/>
        </w:rPr>
        <w:t>I</w:t>
      </w:r>
      <w:r w:rsidRPr="00597392">
        <w:rPr>
          <w:rFonts w:ascii="Garamond" w:hAnsi="Garamond"/>
          <w:b/>
          <w:sz w:val="24"/>
          <w:szCs w:val="24"/>
          <w:highlight w:val="green"/>
        </w:rPr>
        <w:t>NUED ON NEXT PAGE</w:t>
      </w:r>
    </w:p>
    <w:p w14:paraId="7F636A1A" w14:textId="77777777" w:rsidR="00347B12" w:rsidRDefault="00347B12" w:rsidP="00347B12">
      <w:pPr>
        <w:pStyle w:val="Subhead2sl"/>
        <w:spacing w:line="276" w:lineRule="auto"/>
        <w:rPr>
          <w:sz w:val="20"/>
          <w:szCs w:val="20"/>
        </w:rPr>
      </w:pPr>
    </w:p>
    <w:p w14:paraId="2F35334B" w14:textId="63969152" w:rsidR="00347B12" w:rsidRPr="007367FE" w:rsidRDefault="008D6CF3" w:rsidP="00347B12">
      <w:pPr>
        <w:pStyle w:val="Subhead2sl"/>
        <w:spacing w:line="240" w:lineRule="auto"/>
        <w:rPr>
          <w:rFonts w:ascii="Garamond" w:hAnsi="Garamond"/>
          <w:b w:val="0"/>
          <w:i w:val="0"/>
          <w:sz w:val="20"/>
          <w:szCs w:val="20"/>
        </w:rPr>
      </w:pPr>
      <w:r w:rsidRPr="007367FE">
        <w:rPr>
          <w:rFonts w:ascii="Garamond" w:hAnsi="Garamond"/>
          <w:i w:val="0"/>
          <w:highlight w:val="yellow"/>
        </w:rPr>
        <w:t xml:space="preserve">Directions: </w:t>
      </w:r>
      <w:r w:rsidRPr="007367FE">
        <w:rPr>
          <w:rFonts w:ascii="Garamond" w:hAnsi="Garamond"/>
          <w:i w:val="0"/>
          <w:highlight w:val="green"/>
        </w:rPr>
        <w:t>Read and highlight or Underline the case information below.</w:t>
      </w:r>
    </w:p>
    <w:p w14:paraId="5F745B85" w14:textId="51409044" w:rsidR="00D6574B" w:rsidRPr="00A76370" w:rsidRDefault="00D6574B" w:rsidP="006C4E33">
      <w:pPr>
        <w:spacing w:before="360" w:after="120" w:line="276" w:lineRule="auto"/>
        <w:rPr>
          <w:rFonts w:eastAsia="Times New Roman" w:cs="Times New Roman"/>
          <w:sz w:val="20"/>
          <w:szCs w:val="20"/>
        </w:rPr>
      </w:pPr>
      <w:r w:rsidRPr="00A76370">
        <w:rPr>
          <w:rFonts w:ascii="Gill Sans MT" w:eastAsia="Times New Roman" w:hAnsi="Gill Sans MT" w:cs="Times New Roman"/>
          <w:b/>
          <w:bCs/>
          <w:i/>
          <w:iCs/>
          <w:color w:val="000000"/>
          <w:sz w:val="20"/>
          <w:szCs w:val="20"/>
        </w:rPr>
        <w:t>Decision</w:t>
      </w:r>
      <w:r w:rsidR="008A0443" w:rsidRPr="00A76370">
        <w:rPr>
          <w:rStyle w:val="EndnoteReference"/>
          <w:rFonts w:ascii="Gill Sans MT" w:eastAsia="Times New Roman" w:hAnsi="Gill Sans MT" w:cs="Times New Roman"/>
          <w:b/>
          <w:bCs/>
          <w:i/>
          <w:iCs/>
          <w:color w:val="000000"/>
          <w:sz w:val="20"/>
          <w:szCs w:val="20"/>
        </w:rPr>
        <w:endnoteReference w:id="1"/>
      </w:r>
      <w:r w:rsidR="006C4E33" w:rsidRPr="00A76370">
        <w:rPr>
          <w:rFonts w:ascii="Gill Sans MT" w:eastAsia="Times New Roman" w:hAnsi="Gill Sans MT" w:cs="Times New Roman"/>
          <w:b/>
          <w:bCs/>
          <w:i/>
          <w:iCs/>
          <w:color w:val="000000"/>
          <w:sz w:val="20"/>
          <w:szCs w:val="20"/>
        </w:rPr>
        <w:t xml:space="preserve">: </w:t>
      </w:r>
      <w:r w:rsidRPr="00A76370">
        <w:rPr>
          <w:rFonts w:eastAsia="Times New Roman" w:cs="Times New Roman"/>
          <w:color w:val="000000"/>
          <w:sz w:val="20"/>
          <w:szCs w:val="20"/>
        </w:rPr>
        <w:t>In a 6-3 decision, the U.S. Supreme Court ruled in favor of Dobbs</w:t>
      </w:r>
      <w:r w:rsidR="002B2985" w:rsidRPr="00A76370">
        <w:rPr>
          <w:rFonts w:eastAsia="Times New Roman" w:cs="Times New Roman"/>
          <w:color w:val="000000"/>
          <w:sz w:val="20"/>
          <w:szCs w:val="20"/>
        </w:rPr>
        <w:t>,</w:t>
      </w:r>
      <w:r w:rsidRPr="00A76370">
        <w:rPr>
          <w:rFonts w:eastAsia="Times New Roman" w:cs="Times New Roman"/>
          <w:color w:val="000000"/>
          <w:sz w:val="20"/>
          <w:szCs w:val="20"/>
        </w:rPr>
        <w:t xml:space="preserve"> reversing the decision of the U.S. Court of Appeals for the 5</w:t>
      </w:r>
      <w:r w:rsidRPr="00A76370">
        <w:rPr>
          <w:rFonts w:eastAsia="Times New Roman" w:cs="Times New Roman"/>
          <w:color w:val="000000"/>
          <w:sz w:val="20"/>
          <w:szCs w:val="20"/>
          <w:vertAlign w:val="superscript"/>
        </w:rPr>
        <w:t>th</w:t>
      </w:r>
      <w:r w:rsidRPr="00A76370">
        <w:rPr>
          <w:rFonts w:eastAsia="Times New Roman" w:cs="Times New Roman"/>
          <w:color w:val="000000"/>
          <w:sz w:val="20"/>
          <w:szCs w:val="20"/>
        </w:rPr>
        <w:t xml:space="preserve"> Circuit. The Court found that the Constitution does not protect the right to an abortion</w:t>
      </w:r>
      <w:r w:rsidR="00CD06D2" w:rsidRPr="00A76370">
        <w:rPr>
          <w:rFonts w:eastAsia="Times New Roman" w:cs="Times New Roman"/>
          <w:color w:val="000000"/>
          <w:sz w:val="20"/>
          <w:szCs w:val="20"/>
        </w:rPr>
        <w:t>,</w:t>
      </w:r>
      <w:r w:rsidRPr="00A76370">
        <w:rPr>
          <w:rFonts w:eastAsia="Times New Roman" w:cs="Times New Roman"/>
          <w:color w:val="000000"/>
          <w:sz w:val="20"/>
          <w:szCs w:val="20"/>
        </w:rPr>
        <w:t xml:space="preserve"> overturning the precedents set in </w:t>
      </w:r>
      <w:r w:rsidRPr="00A76370">
        <w:rPr>
          <w:rFonts w:eastAsia="Times New Roman" w:cs="Times New Roman"/>
          <w:i/>
          <w:iCs/>
          <w:color w:val="000000"/>
          <w:sz w:val="20"/>
          <w:szCs w:val="20"/>
        </w:rPr>
        <w:t>Roe v. Wade</w:t>
      </w:r>
      <w:r w:rsidRPr="00A76370">
        <w:rPr>
          <w:rFonts w:eastAsia="Times New Roman" w:cs="Times New Roman"/>
          <w:color w:val="000000"/>
          <w:sz w:val="20"/>
          <w:szCs w:val="20"/>
        </w:rPr>
        <w:t xml:space="preserve"> and </w:t>
      </w:r>
      <w:r w:rsidRPr="00A76370">
        <w:rPr>
          <w:rFonts w:eastAsia="Times New Roman" w:cs="Times New Roman"/>
          <w:i/>
          <w:iCs/>
          <w:color w:val="000000"/>
          <w:sz w:val="20"/>
          <w:szCs w:val="20"/>
        </w:rPr>
        <w:t>Planned Parenthood of Southeastern Pennsylvania v. Casey</w:t>
      </w:r>
      <w:r w:rsidRPr="00A76370">
        <w:rPr>
          <w:rFonts w:eastAsia="Times New Roman" w:cs="Times New Roman"/>
          <w:color w:val="000000"/>
          <w:sz w:val="20"/>
          <w:szCs w:val="20"/>
        </w:rPr>
        <w:t xml:space="preserve">. </w:t>
      </w:r>
      <w:r w:rsidR="00910D44" w:rsidRPr="00A76370">
        <w:rPr>
          <w:rFonts w:eastAsia="Times New Roman" w:cs="Times New Roman"/>
          <w:color w:val="000000"/>
          <w:sz w:val="20"/>
          <w:szCs w:val="20"/>
        </w:rPr>
        <w:t>Therefore,</w:t>
      </w:r>
      <w:r w:rsidR="00F7018C" w:rsidRPr="00A76370">
        <w:rPr>
          <w:rFonts w:eastAsia="Times New Roman" w:cs="Times New Roman"/>
          <w:color w:val="000000"/>
          <w:sz w:val="20"/>
          <w:szCs w:val="20"/>
        </w:rPr>
        <w:t xml:space="preserve"> </w:t>
      </w:r>
      <w:r w:rsidR="00427CE5" w:rsidRPr="00A76370">
        <w:rPr>
          <w:rFonts w:eastAsia="Times New Roman" w:cs="Times New Roman"/>
          <w:color w:val="000000"/>
          <w:sz w:val="20"/>
          <w:szCs w:val="20"/>
        </w:rPr>
        <w:t xml:space="preserve">states have the </w:t>
      </w:r>
      <w:r w:rsidR="00F7018C" w:rsidRPr="00A76370">
        <w:rPr>
          <w:rFonts w:eastAsia="Times New Roman" w:cs="Times New Roman"/>
          <w:color w:val="000000"/>
          <w:sz w:val="20"/>
          <w:szCs w:val="20"/>
        </w:rPr>
        <w:t>authority to regulate abortion</w:t>
      </w:r>
      <w:r w:rsidR="00427CE5" w:rsidRPr="00A76370">
        <w:rPr>
          <w:rFonts w:eastAsia="Times New Roman" w:cs="Times New Roman"/>
          <w:color w:val="000000"/>
          <w:sz w:val="20"/>
          <w:szCs w:val="20"/>
        </w:rPr>
        <w:t>.</w:t>
      </w:r>
      <w:r w:rsidR="00F7018C" w:rsidRPr="00A76370">
        <w:rPr>
          <w:rFonts w:eastAsia="Times New Roman" w:cs="Times New Roman"/>
          <w:color w:val="000000"/>
          <w:sz w:val="20"/>
          <w:szCs w:val="20"/>
        </w:rPr>
        <w:t xml:space="preserve"> </w:t>
      </w:r>
      <w:r w:rsidRPr="00A76370">
        <w:rPr>
          <w:rFonts w:eastAsia="Times New Roman" w:cs="Times New Roman"/>
          <w:color w:val="000000"/>
          <w:sz w:val="20"/>
          <w:szCs w:val="20"/>
        </w:rPr>
        <w:t xml:space="preserve">The majority opinion was written by Justice </w:t>
      </w:r>
      <w:r w:rsidR="00F7018C" w:rsidRPr="00A76370">
        <w:rPr>
          <w:rFonts w:eastAsia="Times New Roman" w:cs="Times New Roman"/>
          <w:color w:val="000000"/>
          <w:sz w:val="20"/>
          <w:szCs w:val="20"/>
        </w:rPr>
        <w:t>Alito joined by Justices</w:t>
      </w:r>
      <w:r w:rsidR="00840279" w:rsidRPr="00A76370">
        <w:rPr>
          <w:rFonts w:eastAsia="Times New Roman" w:cs="Times New Roman"/>
          <w:color w:val="000000"/>
          <w:sz w:val="20"/>
          <w:szCs w:val="20"/>
        </w:rPr>
        <w:t xml:space="preserve"> Thomas,</w:t>
      </w:r>
      <w:r w:rsidR="00F7018C" w:rsidRPr="00A76370">
        <w:rPr>
          <w:rFonts w:eastAsia="Times New Roman" w:cs="Times New Roman"/>
          <w:color w:val="000000"/>
          <w:sz w:val="20"/>
          <w:szCs w:val="20"/>
        </w:rPr>
        <w:t xml:space="preserve"> Gorsuch</w:t>
      </w:r>
      <w:r w:rsidR="00840279" w:rsidRPr="00A76370">
        <w:rPr>
          <w:rFonts w:eastAsia="Times New Roman" w:cs="Times New Roman"/>
          <w:color w:val="000000"/>
          <w:sz w:val="20"/>
          <w:szCs w:val="20"/>
        </w:rPr>
        <w:t>, Kavanaugh,</w:t>
      </w:r>
      <w:r w:rsidR="00F7018C" w:rsidRPr="00A76370">
        <w:rPr>
          <w:rFonts w:eastAsia="Times New Roman" w:cs="Times New Roman"/>
          <w:color w:val="000000"/>
          <w:sz w:val="20"/>
          <w:szCs w:val="20"/>
        </w:rPr>
        <w:t xml:space="preserve"> and Barrett. </w:t>
      </w:r>
      <w:r w:rsidRPr="00A76370">
        <w:rPr>
          <w:rFonts w:eastAsia="Times New Roman" w:cs="Times New Roman"/>
          <w:color w:val="000000"/>
          <w:sz w:val="20"/>
          <w:szCs w:val="20"/>
        </w:rPr>
        <w:t>Justice</w:t>
      </w:r>
      <w:r w:rsidR="00F3711D" w:rsidRPr="00A76370">
        <w:rPr>
          <w:rFonts w:eastAsia="Times New Roman" w:cs="Times New Roman"/>
          <w:color w:val="000000"/>
          <w:sz w:val="20"/>
          <w:szCs w:val="20"/>
        </w:rPr>
        <w:t>s</w:t>
      </w:r>
      <w:r w:rsidRPr="00A76370">
        <w:rPr>
          <w:rFonts w:eastAsia="Times New Roman" w:cs="Times New Roman"/>
          <w:color w:val="000000"/>
          <w:sz w:val="20"/>
          <w:szCs w:val="20"/>
        </w:rPr>
        <w:t xml:space="preserve"> Thomas and </w:t>
      </w:r>
      <w:r w:rsidR="00F7018C" w:rsidRPr="00A76370">
        <w:rPr>
          <w:rFonts w:eastAsia="Times New Roman" w:cs="Times New Roman"/>
          <w:color w:val="000000"/>
          <w:sz w:val="20"/>
          <w:szCs w:val="20"/>
        </w:rPr>
        <w:t>Kavanaugh</w:t>
      </w:r>
      <w:r w:rsidRPr="00A76370">
        <w:rPr>
          <w:rFonts w:eastAsia="Times New Roman" w:cs="Times New Roman"/>
          <w:color w:val="000000"/>
          <w:sz w:val="20"/>
          <w:szCs w:val="20"/>
        </w:rPr>
        <w:t xml:space="preserve"> also filed concurring opinions.</w:t>
      </w:r>
      <w:r w:rsidR="00F7018C" w:rsidRPr="00A76370">
        <w:rPr>
          <w:rFonts w:eastAsia="Times New Roman" w:cs="Times New Roman"/>
          <w:color w:val="000000"/>
          <w:sz w:val="20"/>
          <w:szCs w:val="20"/>
        </w:rPr>
        <w:t xml:space="preserve"> Chief Justice Roberts wrote an opinion concurring in the judgment</w:t>
      </w:r>
      <w:r w:rsidR="000528BA" w:rsidRPr="00A76370">
        <w:rPr>
          <w:rFonts w:eastAsia="Times New Roman" w:cs="Times New Roman"/>
          <w:color w:val="000000"/>
          <w:sz w:val="20"/>
          <w:szCs w:val="20"/>
        </w:rPr>
        <w:t xml:space="preserve"> (meaning the Chief Justice also finds for Dobbs but does not share the majority opinion</w:t>
      </w:r>
      <w:r w:rsidR="00840279" w:rsidRPr="00A76370">
        <w:rPr>
          <w:rFonts w:eastAsia="Times New Roman" w:cs="Times New Roman"/>
          <w:color w:val="000000"/>
          <w:sz w:val="20"/>
          <w:szCs w:val="20"/>
        </w:rPr>
        <w:t xml:space="preserve"> th</w:t>
      </w:r>
      <w:r w:rsidR="003C71B5" w:rsidRPr="00A76370">
        <w:rPr>
          <w:rFonts w:eastAsia="Times New Roman" w:cs="Times New Roman"/>
          <w:color w:val="000000"/>
          <w:sz w:val="20"/>
          <w:szCs w:val="20"/>
        </w:rPr>
        <w:t>at</w:t>
      </w:r>
      <w:r w:rsidR="00840279" w:rsidRPr="00A76370">
        <w:rPr>
          <w:rFonts w:eastAsia="Times New Roman" w:cs="Times New Roman"/>
          <w:color w:val="000000"/>
          <w:sz w:val="20"/>
          <w:szCs w:val="20"/>
        </w:rPr>
        <w:t xml:space="preserve"> </w:t>
      </w:r>
      <w:r w:rsidR="00840279" w:rsidRPr="00A76370">
        <w:rPr>
          <w:rFonts w:eastAsia="Times New Roman" w:cs="Times New Roman"/>
          <w:i/>
          <w:iCs/>
          <w:color w:val="000000"/>
          <w:sz w:val="20"/>
          <w:szCs w:val="20"/>
        </w:rPr>
        <w:t>Roe</w:t>
      </w:r>
      <w:r w:rsidR="00840279" w:rsidRPr="00A76370">
        <w:rPr>
          <w:rFonts w:eastAsia="Times New Roman" w:cs="Times New Roman"/>
          <w:color w:val="000000"/>
          <w:sz w:val="20"/>
          <w:szCs w:val="20"/>
        </w:rPr>
        <w:t xml:space="preserve"> should be overturned</w:t>
      </w:r>
      <w:r w:rsidR="000528BA" w:rsidRPr="00A76370">
        <w:rPr>
          <w:rFonts w:eastAsia="Times New Roman" w:cs="Times New Roman"/>
          <w:color w:val="000000"/>
          <w:sz w:val="20"/>
          <w:szCs w:val="20"/>
        </w:rPr>
        <w:t>)</w:t>
      </w:r>
      <w:r w:rsidR="00F7018C" w:rsidRPr="00A76370">
        <w:rPr>
          <w:rFonts w:eastAsia="Times New Roman" w:cs="Times New Roman"/>
          <w:color w:val="000000"/>
          <w:sz w:val="20"/>
          <w:szCs w:val="20"/>
        </w:rPr>
        <w:t>.</w:t>
      </w:r>
      <w:r w:rsidRPr="00A76370">
        <w:rPr>
          <w:rFonts w:eastAsia="Times New Roman" w:cs="Times New Roman"/>
          <w:color w:val="000000"/>
          <w:sz w:val="20"/>
          <w:szCs w:val="20"/>
        </w:rPr>
        <w:t xml:space="preserve"> Justice</w:t>
      </w:r>
      <w:r w:rsidR="00DF1F22" w:rsidRPr="00A76370">
        <w:rPr>
          <w:rFonts w:eastAsia="Times New Roman" w:cs="Times New Roman"/>
          <w:color w:val="000000"/>
          <w:sz w:val="20"/>
          <w:szCs w:val="20"/>
        </w:rPr>
        <w:t>s Breyer,</w:t>
      </w:r>
      <w:r w:rsidRPr="00A76370">
        <w:rPr>
          <w:rFonts w:eastAsia="Times New Roman" w:cs="Times New Roman"/>
          <w:color w:val="000000"/>
          <w:sz w:val="20"/>
          <w:szCs w:val="20"/>
        </w:rPr>
        <w:t xml:space="preserve"> Sotomayor</w:t>
      </w:r>
      <w:r w:rsidR="00DF1F22" w:rsidRPr="00A76370">
        <w:rPr>
          <w:rFonts w:eastAsia="Times New Roman" w:cs="Times New Roman"/>
          <w:color w:val="000000"/>
          <w:sz w:val="20"/>
          <w:szCs w:val="20"/>
        </w:rPr>
        <w:t>, and Kagan</w:t>
      </w:r>
      <w:r w:rsidR="00F3711D" w:rsidRPr="00A76370">
        <w:rPr>
          <w:rFonts w:eastAsia="Times New Roman" w:cs="Times New Roman"/>
          <w:color w:val="000000"/>
          <w:sz w:val="20"/>
          <w:szCs w:val="20"/>
        </w:rPr>
        <w:t xml:space="preserve"> jointly</w:t>
      </w:r>
      <w:r w:rsidRPr="00A76370">
        <w:rPr>
          <w:rFonts w:eastAsia="Times New Roman" w:cs="Times New Roman"/>
          <w:color w:val="000000"/>
          <w:sz w:val="20"/>
          <w:szCs w:val="20"/>
        </w:rPr>
        <w:t xml:space="preserve"> filed </w:t>
      </w:r>
      <w:r w:rsidR="00CA1C77" w:rsidRPr="00A76370">
        <w:rPr>
          <w:rFonts w:eastAsia="Times New Roman" w:cs="Times New Roman"/>
          <w:color w:val="000000"/>
          <w:sz w:val="20"/>
          <w:szCs w:val="20"/>
        </w:rPr>
        <w:t xml:space="preserve">the </w:t>
      </w:r>
      <w:r w:rsidRPr="00A76370">
        <w:rPr>
          <w:rFonts w:eastAsia="Times New Roman" w:cs="Times New Roman"/>
          <w:color w:val="000000"/>
          <w:sz w:val="20"/>
          <w:szCs w:val="20"/>
        </w:rPr>
        <w:t>dissenting opinion. </w:t>
      </w:r>
    </w:p>
    <w:p w14:paraId="6E5C6E49" w14:textId="4A4A21EF" w:rsidR="00D6574B" w:rsidRPr="00A76370" w:rsidRDefault="00D6574B" w:rsidP="006C4E33">
      <w:pPr>
        <w:pStyle w:val="Subhead3sl"/>
        <w:keepNext/>
        <w:rPr>
          <w:rFonts w:eastAsia="Times New Roman" w:cs="Times New Roman"/>
          <w:color w:val="000000"/>
          <w:sz w:val="20"/>
          <w:szCs w:val="20"/>
        </w:rPr>
      </w:pPr>
      <w:r w:rsidRPr="00A76370">
        <w:rPr>
          <w:sz w:val="20"/>
          <w:szCs w:val="20"/>
        </w:rPr>
        <w:t>Majority</w:t>
      </w:r>
      <w:r w:rsidR="006C4E33" w:rsidRPr="00A76370">
        <w:rPr>
          <w:sz w:val="20"/>
          <w:szCs w:val="20"/>
        </w:rPr>
        <w:t xml:space="preserve">: </w:t>
      </w:r>
      <w:r w:rsidRPr="00A76370">
        <w:rPr>
          <w:rFonts w:eastAsia="Times New Roman" w:cs="Times New Roman"/>
          <w:b w:val="0"/>
          <w:color w:val="000000"/>
          <w:sz w:val="20"/>
          <w:szCs w:val="20"/>
        </w:rPr>
        <w:t xml:space="preserve">Justice </w:t>
      </w:r>
      <w:r w:rsidR="00BA43EE" w:rsidRPr="00A76370">
        <w:rPr>
          <w:rFonts w:eastAsia="Times New Roman" w:cs="Times New Roman"/>
          <w:b w:val="0"/>
          <w:color w:val="000000"/>
          <w:sz w:val="20"/>
          <w:szCs w:val="20"/>
        </w:rPr>
        <w:t>Alito</w:t>
      </w:r>
      <w:r w:rsidR="00254244" w:rsidRPr="00A76370">
        <w:rPr>
          <w:rFonts w:eastAsia="Times New Roman" w:cs="Times New Roman"/>
          <w:b w:val="0"/>
          <w:color w:val="000000"/>
          <w:sz w:val="20"/>
          <w:szCs w:val="20"/>
        </w:rPr>
        <w:t>,</w:t>
      </w:r>
      <w:r w:rsidRPr="00A76370">
        <w:rPr>
          <w:rFonts w:eastAsia="Times New Roman" w:cs="Times New Roman"/>
          <w:b w:val="0"/>
          <w:color w:val="000000"/>
          <w:sz w:val="20"/>
          <w:szCs w:val="20"/>
        </w:rPr>
        <w:t xml:space="preserve"> writing for the majority</w:t>
      </w:r>
      <w:r w:rsidR="00254244" w:rsidRPr="00A76370">
        <w:rPr>
          <w:rFonts w:eastAsia="Times New Roman" w:cs="Times New Roman"/>
          <w:b w:val="0"/>
          <w:color w:val="000000"/>
          <w:sz w:val="20"/>
          <w:szCs w:val="20"/>
        </w:rPr>
        <w:t>,</w:t>
      </w:r>
      <w:r w:rsidRPr="00A76370">
        <w:rPr>
          <w:rFonts w:eastAsia="Times New Roman" w:cs="Times New Roman"/>
          <w:b w:val="0"/>
          <w:color w:val="000000"/>
          <w:sz w:val="20"/>
          <w:szCs w:val="20"/>
        </w:rPr>
        <w:t xml:space="preserve"> </w:t>
      </w:r>
      <w:r w:rsidR="00C72F7B" w:rsidRPr="00A76370">
        <w:rPr>
          <w:rFonts w:eastAsia="Times New Roman" w:cs="Times New Roman"/>
          <w:b w:val="0"/>
          <w:color w:val="000000"/>
          <w:sz w:val="20"/>
          <w:szCs w:val="20"/>
        </w:rPr>
        <w:t>emphasized that the Constitution does not refer to abortion at all. Justice Alito explained that some rights not listed in the Constitution are protected by the Due Process Clause, but that abortion is not among them because it is not “deeply rooted in our Nation’s history.”</w:t>
      </w:r>
      <w:r w:rsidR="00C72F7B" w:rsidRPr="00A76370">
        <w:rPr>
          <w:rFonts w:eastAsia="Times New Roman" w:cs="Times New Roman"/>
          <w:color w:val="000000"/>
          <w:sz w:val="20"/>
          <w:szCs w:val="20"/>
        </w:rPr>
        <w:t xml:space="preserve"> </w:t>
      </w:r>
    </w:p>
    <w:p w14:paraId="410C55ED" w14:textId="13EC4693" w:rsidR="00C72F7B" w:rsidRPr="00A76370" w:rsidRDefault="007D1D10" w:rsidP="00BA43EE">
      <w:pPr>
        <w:pStyle w:val="Basiccopysl"/>
        <w:rPr>
          <w:rFonts w:eastAsia="Times New Roman" w:cs="Times New Roman"/>
          <w:color w:val="000000"/>
          <w:sz w:val="20"/>
          <w:szCs w:val="20"/>
        </w:rPr>
      </w:pPr>
      <w:r w:rsidRPr="00A76370">
        <w:rPr>
          <w:rFonts w:cs="Arial"/>
          <w:color w:val="0C0C0C"/>
          <w:sz w:val="20"/>
          <w:szCs w:val="20"/>
          <w:shd w:val="clear" w:color="auto" w:fill="FFFFFF"/>
        </w:rPr>
        <w:t xml:space="preserve">Justice </w:t>
      </w:r>
      <w:r w:rsidR="008C414A" w:rsidRPr="00A76370">
        <w:rPr>
          <w:rFonts w:cs="Arial"/>
          <w:color w:val="0C0C0C"/>
          <w:sz w:val="20"/>
          <w:szCs w:val="20"/>
          <w:shd w:val="clear" w:color="auto" w:fill="FFFFFF"/>
        </w:rPr>
        <w:t xml:space="preserve">Alito </w:t>
      </w:r>
      <w:r w:rsidR="00C10DB6" w:rsidRPr="00A76370">
        <w:rPr>
          <w:rFonts w:cs="Arial"/>
          <w:color w:val="0C0C0C"/>
          <w:sz w:val="20"/>
          <w:szCs w:val="20"/>
          <w:shd w:val="clear" w:color="auto" w:fill="FFFFFF"/>
        </w:rPr>
        <w:t>stated</w:t>
      </w:r>
      <w:r w:rsidRPr="00A76370">
        <w:rPr>
          <w:rFonts w:cs="Arial"/>
          <w:color w:val="0C0C0C"/>
          <w:sz w:val="20"/>
          <w:szCs w:val="20"/>
          <w:shd w:val="clear" w:color="auto" w:fill="FFFFFF"/>
        </w:rPr>
        <w:t xml:space="preserve"> that although </w:t>
      </w:r>
      <w:r w:rsidR="00C10DB6" w:rsidRPr="00A76370">
        <w:rPr>
          <w:rFonts w:cs="Arial"/>
          <w:color w:val="0C0C0C"/>
          <w:sz w:val="20"/>
          <w:szCs w:val="20"/>
          <w:shd w:val="clear" w:color="auto" w:fill="FFFFFF"/>
        </w:rPr>
        <w:t xml:space="preserve">the decisions in </w:t>
      </w:r>
      <w:r w:rsidRPr="00A76370">
        <w:rPr>
          <w:rStyle w:val="Emphasis"/>
          <w:rFonts w:cs="Arial"/>
          <w:color w:val="0C0C0C"/>
          <w:sz w:val="20"/>
          <w:szCs w:val="20"/>
          <w:bdr w:val="none" w:sz="0" w:space="0" w:color="auto" w:frame="1"/>
          <w:shd w:val="clear" w:color="auto" w:fill="FFFFFF"/>
        </w:rPr>
        <w:t>Roe</w:t>
      </w:r>
      <w:r w:rsidRPr="00A76370">
        <w:rPr>
          <w:rFonts w:cs="Arial"/>
          <w:color w:val="0C0C0C"/>
          <w:sz w:val="20"/>
          <w:szCs w:val="20"/>
          <w:shd w:val="clear" w:color="auto" w:fill="FFFFFF"/>
        </w:rPr>
        <w:t> and </w:t>
      </w:r>
      <w:r w:rsidRPr="00A76370">
        <w:rPr>
          <w:rStyle w:val="Emphasis"/>
          <w:rFonts w:cs="Arial"/>
          <w:color w:val="0C0C0C"/>
          <w:sz w:val="20"/>
          <w:szCs w:val="20"/>
          <w:bdr w:val="none" w:sz="0" w:space="0" w:color="auto" w:frame="1"/>
          <w:shd w:val="clear" w:color="auto" w:fill="FFFFFF"/>
        </w:rPr>
        <w:t>Casey</w:t>
      </w:r>
      <w:r w:rsidRPr="00A76370">
        <w:rPr>
          <w:rFonts w:cs="Arial"/>
          <w:color w:val="0C0C0C"/>
          <w:sz w:val="20"/>
          <w:szCs w:val="20"/>
          <w:shd w:val="clear" w:color="auto" w:fill="FFFFFF"/>
        </w:rPr>
        <w:t> established a right to an abortion,</w:t>
      </w:r>
      <w:r w:rsidR="008C414A" w:rsidRPr="00A76370">
        <w:rPr>
          <w:rFonts w:cs="Arial"/>
          <w:color w:val="0C0C0C"/>
          <w:sz w:val="20"/>
          <w:szCs w:val="20"/>
          <w:shd w:val="clear" w:color="auto" w:fill="FFFFFF"/>
        </w:rPr>
        <w:t xml:space="preserve"> </w:t>
      </w:r>
      <w:r w:rsidR="00C10DB6" w:rsidRPr="00A76370">
        <w:rPr>
          <w:rFonts w:cs="Arial"/>
          <w:color w:val="0C0C0C"/>
          <w:sz w:val="20"/>
          <w:szCs w:val="20"/>
          <w:shd w:val="clear" w:color="auto" w:fill="FFFFFF"/>
        </w:rPr>
        <w:t>they</w:t>
      </w:r>
      <w:r w:rsidR="008C414A" w:rsidRPr="00A76370">
        <w:rPr>
          <w:rFonts w:cs="Arial"/>
          <w:color w:val="0C0C0C"/>
          <w:sz w:val="20"/>
          <w:szCs w:val="20"/>
          <w:shd w:val="clear" w:color="auto" w:fill="FFFFFF"/>
        </w:rPr>
        <w:t xml:space="preserve"> should be overruled despite</w:t>
      </w:r>
      <w:r w:rsidR="00C10DB6" w:rsidRPr="00A76370">
        <w:rPr>
          <w:rFonts w:cs="Arial"/>
          <w:color w:val="0C0C0C"/>
          <w:sz w:val="20"/>
          <w:szCs w:val="20"/>
          <w:shd w:val="clear" w:color="auto" w:fill="FFFFFF"/>
        </w:rPr>
        <w:t xml:space="preserve"> the doctrine of</w:t>
      </w:r>
      <w:r w:rsidR="008C414A" w:rsidRPr="00A76370">
        <w:rPr>
          <w:rFonts w:cs="Arial"/>
          <w:color w:val="0C0C0C"/>
          <w:sz w:val="20"/>
          <w:szCs w:val="20"/>
          <w:shd w:val="clear" w:color="auto" w:fill="FFFFFF"/>
        </w:rPr>
        <w:t xml:space="preserve"> </w:t>
      </w:r>
      <w:r w:rsidR="008C414A" w:rsidRPr="00A76370">
        <w:rPr>
          <w:rFonts w:cs="Arial"/>
          <w:i/>
          <w:iCs/>
          <w:color w:val="0C0C0C"/>
          <w:sz w:val="20"/>
          <w:szCs w:val="20"/>
          <w:shd w:val="clear" w:color="auto" w:fill="FFFFFF"/>
        </w:rPr>
        <w:t>stare decisis</w:t>
      </w:r>
      <w:r w:rsidR="00C10DB6" w:rsidRPr="00A76370">
        <w:rPr>
          <w:rFonts w:cs="Arial"/>
          <w:color w:val="0C0C0C"/>
          <w:sz w:val="20"/>
          <w:szCs w:val="20"/>
          <w:shd w:val="clear" w:color="auto" w:fill="FFFFFF"/>
        </w:rPr>
        <w:t xml:space="preserve">. He explained that </w:t>
      </w:r>
      <w:r w:rsidR="00C10DB6" w:rsidRPr="00A76370">
        <w:rPr>
          <w:rFonts w:cs="Arial"/>
          <w:i/>
          <w:iCs/>
          <w:color w:val="0C0C0C"/>
          <w:sz w:val="20"/>
          <w:szCs w:val="20"/>
          <w:shd w:val="clear" w:color="auto" w:fill="FFFFFF"/>
        </w:rPr>
        <w:t>s</w:t>
      </w:r>
      <w:r w:rsidR="008C414A" w:rsidRPr="00A76370">
        <w:rPr>
          <w:rFonts w:cs="Arial"/>
          <w:i/>
          <w:iCs/>
          <w:color w:val="0C0C0C"/>
          <w:sz w:val="20"/>
          <w:szCs w:val="20"/>
          <w:shd w:val="clear" w:color="auto" w:fill="FFFFFF"/>
        </w:rPr>
        <w:t>tare decisis</w:t>
      </w:r>
      <w:r w:rsidR="008C414A" w:rsidRPr="00A76370">
        <w:rPr>
          <w:rFonts w:cs="Arial"/>
          <w:color w:val="0C0C0C"/>
          <w:sz w:val="20"/>
          <w:szCs w:val="20"/>
          <w:shd w:val="clear" w:color="auto" w:fill="FFFFFF"/>
        </w:rPr>
        <w:t xml:space="preserve"> </w:t>
      </w:r>
      <w:r w:rsidR="00C10DB6" w:rsidRPr="00A76370">
        <w:rPr>
          <w:rFonts w:cs="Arial"/>
          <w:color w:val="0C0C0C"/>
          <w:sz w:val="20"/>
          <w:szCs w:val="20"/>
          <w:shd w:val="clear" w:color="auto" w:fill="FFFFFF"/>
        </w:rPr>
        <w:t>should not be followed</w:t>
      </w:r>
      <w:r w:rsidR="008C414A" w:rsidRPr="00A76370">
        <w:rPr>
          <w:rFonts w:cs="Arial"/>
          <w:color w:val="0C0C0C"/>
          <w:sz w:val="20"/>
          <w:szCs w:val="20"/>
          <w:shd w:val="clear" w:color="auto" w:fill="FFFFFF"/>
        </w:rPr>
        <w:t xml:space="preserve"> when a</w:t>
      </w:r>
      <w:r w:rsidR="00C05184" w:rsidRPr="00A76370">
        <w:rPr>
          <w:rFonts w:cs="Arial"/>
          <w:color w:val="0C0C0C"/>
          <w:sz w:val="20"/>
          <w:szCs w:val="20"/>
          <w:shd w:val="clear" w:color="auto" w:fill="FFFFFF"/>
        </w:rPr>
        <w:t xml:space="preserve"> previous</w:t>
      </w:r>
      <w:r w:rsidR="008C414A" w:rsidRPr="00A76370">
        <w:rPr>
          <w:rFonts w:cs="Arial"/>
          <w:color w:val="0C0C0C"/>
          <w:sz w:val="20"/>
          <w:szCs w:val="20"/>
          <w:shd w:val="clear" w:color="auto" w:fill="FFFFFF"/>
        </w:rPr>
        <w:t xml:space="preserve"> ruling is grievously</w:t>
      </w:r>
      <w:r w:rsidR="00576CE4" w:rsidRPr="00A76370">
        <w:rPr>
          <w:rFonts w:cs="Arial"/>
          <w:color w:val="0C0C0C"/>
          <w:sz w:val="20"/>
          <w:szCs w:val="20"/>
          <w:shd w:val="clear" w:color="auto" w:fill="FFFFFF"/>
        </w:rPr>
        <w:t xml:space="preserve"> (seriously)</w:t>
      </w:r>
      <w:r w:rsidR="008C414A" w:rsidRPr="00A76370">
        <w:rPr>
          <w:rFonts w:cs="Arial"/>
          <w:color w:val="0C0C0C"/>
          <w:sz w:val="20"/>
          <w:szCs w:val="20"/>
          <w:shd w:val="clear" w:color="auto" w:fill="FFFFFF"/>
        </w:rPr>
        <w:t xml:space="preserve"> incorrect</w:t>
      </w:r>
      <w:r w:rsidR="00F3711D" w:rsidRPr="00A76370">
        <w:rPr>
          <w:rFonts w:cs="Arial"/>
          <w:color w:val="0C0C0C"/>
          <w:sz w:val="20"/>
          <w:szCs w:val="20"/>
          <w:shd w:val="clear" w:color="auto" w:fill="FFFFFF"/>
        </w:rPr>
        <w:t xml:space="preserve"> as he argues these were</w:t>
      </w:r>
      <w:r w:rsidR="008C414A" w:rsidRPr="00A76370">
        <w:rPr>
          <w:rFonts w:cs="Arial"/>
          <w:color w:val="0C0C0C"/>
          <w:sz w:val="20"/>
          <w:szCs w:val="20"/>
          <w:shd w:val="clear" w:color="auto" w:fill="FFFFFF"/>
        </w:rPr>
        <w:t xml:space="preserve">. </w:t>
      </w:r>
      <w:r w:rsidR="00C10DB6" w:rsidRPr="00A76370">
        <w:rPr>
          <w:rFonts w:cs="Arial"/>
          <w:color w:val="0C0C0C"/>
          <w:sz w:val="20"/>
          <w:szCs w:val="20"/>
          <w:shd w:val="clear" w:color="auto" w:fill="FFFFFF"/>
        </w:rPr>
        <w:t>He n</w:t>
      </w:r>
      <w:r w:rsidR="008C414A" w:rsidRPr="00A76370">
        <w:rPr>
          <w:rFonts w:cs="Arial"/>
          <w:color w:val="0C0C0C"/>
          <w:sz w:val="20"/>
          <w:szCs w:val="20"/>
          <w:shd w:val="clear" w:color="auto" w:fill="FFFFFF"/>
        </w:rPr>
        <w:t>ot</w:t>
      </w:r>
      <w:r w:rsidR="00C10DB6" w:rsidRPr="00A76370">
        <w:rPr>
          <w:rFonts w:cs="Arial"/>
          <w:color w:val="0C0C0C"/>
          <w:sz w:val="20"/>
          <w:szCs w:val="20"/>
          <w:shd w:val="clear" w:color="auto" w:fill="FFFFFF"/>
        </w:rPr>
        <w:t>ed</w:t>
      </w:r>
      <w:r w:rsidR="008C414A" w:rsidRPr="00A76370">
        <w:rPr>
          <w:rFonts w:cs="Arial"/>
          <w:color w:val="0C0C0C"/>
          <w:sz w:val="20"/>
          <w:szCs w:val="20"/>
          <w:shd w:val="clear" w:color="auto" w:fill="FFFFFF"/>
        </w:rPr>
        <w:t xml:space="preserve"> landmark decisions</w:t>
      </w:r>
      <w:r w:rsidR="00C10DB6" w:rsidRPr="00A76370">
        <w:rPr>
          <w:rFonts w:cs="Arial"/>
          <w:color w:val="0C0C0C"/>
          <w:sz w:val="20"/>
          <w:szCs w:val="20"/>
          <w:shd w:val="clear" w:color="auto" w:fill="FFFFFF"/>
        </w:rPr>
        <w:t xml:space="preserve"> like</w:t>
      </w:r>
      <w:r w:rsidR="008C414A" w:rsidRPr="00A76370">
        <w:rPr>
          <w:rFonts w:cs="Arial"/>
          <w:color w:val="0C0C0C"/>
          <w:sz w:val="20"/>
          <w:szCs w:val="20"/>
          <w:shd w:val="clear" w:color="auto" w:fill="FFFFFF"/>
        </w:rPr>
        <w:t> </w:t>
      </w:r>
      <w:r w:rsidR="008C414A" w:rsidRPr="00A76370">
        <w:rPr>
          <w:rStyle w:val="Emphasis"/>
          <w:rFonts w:cs="Arial"/>
          <w:color w:val="0C0C0C"/>
          <w:sz w:val="20"/>
          <w:szCs w:val="20"/>
          <w:bdr w:val="none" w:sz="0" w:space="0" w:color="auto" w:frame="1"/>
          <w:shd w:val="clear" w:color="auto" w:fill="FFFFFF"/>
        </w:rPr>
        <w:t>Brown v. Board of Education</w:t>
      </w:r>
      <w:r w:rsidR="00C0078B" w:rsidRPr="00A76370">
        <w:rPr>
          <w:rStyle w:val="Emphasis"/>
          <w:rFonts w:cs="Arial"/>
          <w:color w:val="0C0C0C"/>
          <w:sz w:val="20"/>
          <w:szCs w:val="20"/>
          <w:bdr w:val="none" w:sz="0" w:space="0" w:color="auto" w:frame="1"/>
          <w:shd w:val="clear" w:color="auto" w:fill="FFFFFF"/>
        </w:rPr>
        <w:t>,</w:t>
      </w:r>
      <w:r w:rsidR="00C10DB6" w:rsidRPr="00A76370">
        <w:rPr>
          <w:rFonts w:cs="Arial"/>
          <w:color w:val="0C0C0C"/>
          <w:sz w:val="20"/>
          <w:szCs w:val="20"/>
          <w:shd w:val="clear" w:color="auto" w:fill="FFFFFF"/>
        </w:rPr>
        <w:t xml:space="preserve"> which </w:t>
      </w:r>
      <w:r w:rsidR="008C414A" w:rsidRPr="00A76370">
        <w:rPr>
          <w:rFonts w:cs="Arial"/>
          <w:color w:val="0C0C0C"/>
          <w:sz w:val="20"/>
          <w:szCs w:val="20"/>
          <w:shd w:val="clear" w:color="auto" w:fill="FFFFFF"/>
        </w:rPr>
        <w:t>reject</w:t>
      </w:r>
      <w:r w:rsidR="00C10DB6" w:rsidRPr="00A76370">
        <w:rPr>
          <w:rFonts w:cs="Arial"/>
          <w:color w:val="0C0C0C"/>
          <w:sz w:val="20"/>
          <w:szCs w:val="20"/>
          <w:shd w:val="clear" w:color="auto" w:fill="FFFFFF"/>
        </w:rPr>
        <w:t>ed</w:t>
      </w:r>
      <w:r w:rsidR="008C414A" w:rsidRPr="00A76370">
        <w:rPr>
          <w:rFonts w:cs="Arial"/>
          <w:color w:val="0C0C0C"/>
          <w:sz w:val="20"/>
          <w:szCs w:val="20"/>
          <w:shd w:val="clear" w:color="auto" w:fill="FFFFFF"/>
        </w:rPr>
        <w:t xml:space="preserve"> the “separate but equal” doctrine, had overruled </w:t>
      </w:r>
      <w:r w:rsidR="00F3711D" w:rsidRPr="00A76370">
        <w:rPr>
          <w:rFonts w:cs="Arial"/>
          <w:color w:val="0C0C0C"/>
          <w:sz w:val="20"/>
          <w:szCs w:val="20"/>
          <w:shd w:val="clear" w:color="auto" w:fill="FFFFFF"/>
        </w:rPr>
        <w:t xml:space="preserve">the </w:t>
      </w:r>
      <w:r w:rsidR="008C414A" w:rsidRPr="00A76370">
        <w:rPr>
          <w:rFonts w:cs="Arial"/>
          <w:color w:val="0C0C0C"/>
          <w:sz w:val="20"/>
          <w:szCs w:val="20"/>
          <w:shd w:val="clear" w:color="auto" w:fill="FFFFFF"/>
        </w:rPr>
        <w:t>precedent</w:t>
      </w:r>
      <w:r w:rsidR="00F3711D" w:rsidRPr="00A76370">
        <w:rPr>
          <w:rFonts w:cs="Arial"/>
          <w:color w:val="0C0C0C"/>
          <w:sz w:val="20"/>
          <w:szCs w:val="20"/>
          <w:shd w:val="clear" w:color="auto" w:fill="FFFFFF"/>
        </w:rPr>
        <w:t xml:space="preserve"> set in </w:t>
      </w:r>
      <w:r w:rsidR="00F3711D" w:rsidRPr="00A76370">
        <w:rPr>
          <w:rFonts w:cs="Arial"/>
          <w:i/>
          <w:iCs/>
          <w:color w:val="0C0C0C"/>
          <w:sz w:val="20"/>
          <w:szCs w:val="20"/>
          <w:shd w:val="clear" w:color="auto" w:fill="FFFFFF"/>
        </w:rPr>
        <w:t>Plessy v. Ferguson</w:t>
      </w:r>
      <w:r w:rsidR="00C10DB6" w:rsidRPr="00A76370">
        <w:rPr>
          <w:rFonts w:cs="Arial"/>
          <w:color w:val="0C0C0C"/>
          <w:sz w:val="20"/>
          <w:szCs w:val="20"/>
          <w:shd w:val="clear" w:color="auto" w:fill="FFFFFF"/>
        </w:rPr>
        <w:t xml:space="preserve">. He </w:t>
      </w:r>
      <w:r w:rsidR="00F81D95" w:rsidRPr="00A76370">
        <w:rPr>
          <w:rFonts w:cs="Arial"/>
          <w:color w:val="0C0C0C"/>
          <w:sz w:val="20"/>
          <w:szCs w:val="20"/>
          <w:shd w:val="clear" w:color="auto" w:fill="FFFFFF"/>
        </w:rPr>
        <w:t xml:space="preserve">also </w:t>
      </w:r>
      <w:r w:rsidR="00C10DB6" w:rsidRPr="00A76370">
        <w:rPr>
          <w:rFonts w:cs="Arial"/>
          <w:color w:val="0C0C0C"/>
          <w:sz w:val="20"/>
          <w:szCs w:val="20"/>
          <w:shd w:val="clear" w:color="auto" w:fill="FFFFFF"/>
        </w:rPr>
        <w:t>stat</w:t>
      </w:r>
      <w:r w:rsidR="00F81D95" w:rsidRPr="00A76370">
        <w:rPr>
          <w:rFonts w:cs="Arial"/>
          <w:color w:val="0C0C0C"/>
          <w:sz w:val="20"/>
          <w:szCs w:val="20"/>
          <w:shd w:val="clear" w:color="auto" w:fill="FFFFFF"/>
        </w:rPr>
        <w:t>ed</w:t>
      </w:r>
      <w:r w:rsidR="00C10DB6" w:rsidRPr="00A76370">
        <w:rPr>
          <w:rFonts w:cs="Arial"/>
          <w:color w:val="0C0C0C"/>
          <w:sz w:val="20"/>
          <w:szCs w:val="20"/>
          <w:shd w:val="clear" w:color="auto" w:fill="FFFFFF"/>
        </w:rPr>
        <w:t xml:space="preserve"> that</w:t>
      </w:r>
      <w:r w:rsidR="008C414A" w:rsidRPr="00A76370">
        <w:rPr>
          <w:rFonts w:cs="Arial"/>
          <w:color w:val="0C0C0C"/>
          <w:sz w:val="20"/>
          <w:szCs w:val="20"/>
          <w:shd w:val="clear" w:color="auto" w:fill="FFFFFF"/>
        </w:rPr>
        <w:t xml:space="preserve"> the issue of abortion should</w:t>
      </w:r>
      <w:r w:rsidR="00167B68" w:rsidRPr="00A76370">
        <w:rPr>
          <w:rFonts w:cs="Arial"/>
          <w:color w:val="0C0C0C"/>
          <w:sz w:val="20"/>
          <w:szCs w:val="20"/>
          <w:shd w:val="clear" w:color="auto" w:fill="FFFFFF"/>
        </w:rPr>
        <w:t xml:space="preserve"> </w:t>
      </w:r>
      <w:r w:rsidR="00576CE4" w:rsidRPr="00A76370">
        <w:rPr>
          <w:rFonts w:cs="Arial"/>
          <w:color w:val="0C0C0C"/>
          <w:sz w:val="20"/>
          <w:szCs w:val="20"/>
          <w:shd w:val="clear" w:color="auto" w:fill="FFFFFF"/>
        </w:rPr>
        <w:t>be determined by</w:t>
      </w:r>
      <w:r w:rsidR="008C414A" w:rsidRPr="00A76370">
        <w:rPr>
          <w:rFonts w:cs="Arial"/>
          <w:color w:val="0C0C0C"/>
          <w:sz w:val="20"/>
          <w:szCs w:val="20"/>
          <w:shd w:val="clear" w:color="auto" w:fill="FFFFFF"/>
        </w:rPr>
        <w:t xml:space="preserve"> the people’s representatives</w:t>
      </w:r>
      <w:r w:rsidR="00F3711D" w:rsidRPr="00A76370">
        <w:rPr>
          <w:rFonts w:cs="Arial"/>
          <w:color w:val="0C0C0C"/>
          <w:sz w:val="20"/>
          <w:szCs w:val="20"/>
          <w:shd w:val="clear" w:color="auto" w:fill="FFFFFF"/>
        </w:rPr>
        <w:t xml:space="preserve"> at the state level.</w:t>
      </w:r>
    </w:p>
    <w:p w14:paraId="66A875F6" w14:textId="6DCD3109" w:rsidR="009A029F" w:rsidRPr="00A76370" w:rsidRDefault="00D6574B" w:rsidP="006C4E33">
      <w:pPr>
        <w:pStyle w:val="Subhead3sl"/>
        <w:rPr>
          <w:b w:val="0"/>
          <w:bCs/>
          <w:sz w:val="20"/>
          <w:szCs w:val="20"/>
        </w:rPr>
      </w:pPr>
      <w:r w:rsidRPr="00A76370">
        <w:rPr>
          <w:sz w:val="20"/>
          <w:szCs w:val="20"/>
        </w:rPr>
        <w:t>Concurrences</w:t>
      </w:r>
      <w:r w:rsidR="006C4E33" w:rsidRPr="00A76370">
        <w:rPr>
          <w:sz w:val="20"/>
          <w:szCs w:val="20"/>
        </w:rPr>
        <w:t xml:space="preserve">: </w:t>
      </w:r>
      <w:r w:rsidR="007A6E43" w:rsidRPr="00A76370">
        <w:rPr>
          <w:b w:val="0"/>
          <w:bCs/>
          <w:sz w:val="20"/>
          <w:szCs w:val="20"/>
        </w:rPr>
        <w:t>Chief Justice Roberts authored a concurrence</w:t>
      </w:r>
      <w:r w:rsidR="009B42AA" w:rsidRPr="00A76370">
        <w:rPr>
          <w:b w:val="0"/>
          <w:bCs/>
          <w:sz w:val="20"/>
          <w:szCs w:val="20"/>
        </w:rPr>
        <w:t xml:space="preserve"> stating</w:t>
      </w:r>
      <w:r w:rsidR="007A6E43" w:rsidRPr="00A76370">
        <w:rPr>
          <w:b w:val="0"/>
          <w:bCs/>
          <w:sz w:val="20"/>
          <w:szCs w:val="20"/>
        </w:rPr>
        <w:t xml:space="preserve"> that </w:t>
      </w:r>
      <w:r w:rsidR="009B42AA" w:rsidRPr="00A76370">
        <w:rPr>
          <w:b w:val="0"/>
          <w:bCs/>
          <w:sz w:val="20"/>
          <w:szCs w:val="20"/>
        </w:rPr>
        <w:t xml:space="preserve">he </w:t>
      </w:r>
      <w:r w:rsidR="007A6E43" w:rsidRPr="00A76370">
        <w:rPr>
          <w:b w:val="0"/>
          <w:bCs/>
          <w:sz w:val="20"/>
          <w:szCs w:val="20"/>
        </w:rPr>
        <w:t>would also</w:t>
      </w:r>
      <w:r w:rsidR="005D0FCF" w:rsidRPr="00A76370">
        <w:rPr>
          <w:b w:val="0"/>
          <w:bCs/>
          <w:sz w:val="20"/>
          <w:szCs w:val="20"/>
        </w:rPr>
        <w:t xml:space="preserve"> rule</w:t>
      </w:r>
      <w:r w:rsidR="007A6E43" w:rsidRPr="00A76370">
        <w:rPr>
          <w:b w:val="0"/>
          <w:bCs/>
          <w:sz w:val="20"/>
          <w:szCs w:val="20"/>
        </w:rPr>
        <w:t xml:space="preserve"> for Dobbs</w:t>
      </w:r>
      <w:r w:rsidR="004F191B" w:rsidRPr="00A76370">
        <w:rPr>
          <w:b w:val="0"/>
          <w:bCs/>
          <w:sz w:val="20"/>
          <w:szCs w:val="20"/>
        </w:rPr>
        <w:t xml:space="preserve"> in this case and uphold the Mississippi law</w:t>
      </w:r>
      <w:r w:rsidR="007A6E43" w:rsidRPr="00A76370">
        <w:rPr>
          <w:b w:val="0"/>
          <w:bCs/>
          <w:sz w:val="20"/>
          <w:szCs w:val="20"/>
        </w:rPr>
        <w:t xml:space="preserve">, but </w:t>
      </w:r>
      <w:r w:rsidR="004F191B" w:rsidRPr="00A76370">
        <w:rPr>
          <w:b w:val="0"/>
          <w:bCs/>
          <w:sz w:val="20"/>
          <w:szCs w:val="20"/>
        </w:rPr>
        <w:t>without</w:t>
      </w:r>
      <w:r w:rsidR="007A6E43" w:rsidRPr="00A76370">
        <w:rPr>
          <w:b w:val="0"/>
          <w:bCs/>
          <w:sz w:val="20"/>
          <w:szCs w:val="20"/>
        </w:rPr>
        <w:t xml:space="preserve"> overrul</w:t>
      </w:r>
      <w:r w:rsidR="004F191B" w:rsidRPr="00A76370">
        <w:rPr>
          <w:b w:val="0"/>
          <w:bCs/>
          <w:sz w:val="20"/>
          <w:szCs w:val="20"/>
        </w:rPr>
        <w:t>ing</w:t>
      </w:r>
      <w:r w:rsidR="007A6E43" w:rsidRPr="00A76370">
        <w:rPr>
          <w:b w:val="0"/>
          <w:bCs/>
          <w:sz w:val="20"/>
          <w:szCs w:val="20"/>
        </w:rPr>
        <w:t xml:space="preserve"> </w:t>
      </w:r>
      <w:r w:rsidR="007A6E43" w:rsidRPr="00A76370">
        <w:rPr>
          <w:b w:val="0"/>
          <w:bCs/>
          <w:i/>
          <w:iCs/>
          <w:sz w:val="20"/>
          <w:szCs w:val="20"/>
        </w:rPr>
        <w:t>Roe</w:t>
      </w:r>
      <w:r w:rsidR="007A6E43" w:rsidRPr="00A76370">
        <w:rPr>
          <w:b w:val="0"/>
          <w:bCs/>
          <w:sz w:val="20"/>
          <w:szCs w:val="20"/>
        </w:rPr>
        <w:t xml:space="preserve"> and </w:t>
      </w:r>
      <w:r w:rsidR="007A6E43" w:rsidRPr="00A76370">
        <w:rPr>
          <w:b w:val="0"/>
          <w:bCs/>
          <w:i/>
          <w:iCs/>
          <w:sz w:val="20"/>
          <w:szCs w:val="20"/>
        </w:rPr>
        <w:t>Casey</w:t>
      </w:r>
      <w:r w:rsidR="009B42AA" w:rsidRPr="00A76370">
        <w:rPr>
          <w:b w:val="0"/>
          <w:bCs/>
          <w:sz w:val="20"/>
          <w:szCs w:val="20"/>
        </w:rPr>
        <w:t xml:space="preserve"> in their entirety.</w:t>
      </w:r>
      <w:r w:rsidR="007A6E43" w:rsidRPr="00A76370">
        <w:rPr>
          <w:b w:val="0"/>
          <w:bCs/>
          <w:sz w:val="20"/>
          <w:szCs w:val="20"/>
        </w:rPr>
        <w:t xml:space="preserve"> </w:t>
      </w:r>
      <w:r w:rsidR="009B42AA" w:rsidRPr="00A76370">
        <w:rPr>
          <w:b w:val="0"/>
          <w:bCs/>
          <w:sz w:val="20"/>
          <w:szCs w:val="20"/>
        </w:rPr>
        <w:t>Chief Justice Roberts wrote that he would discard the viability test established in those rulings but hold that</w:t>
      </w:r>
      <w:r w:rsidR="00643EA0" w:rsidRPr="00A76370">
        <w:rPr>
          <w:b w:val="0"/>
          <w:bCs/>
          <w:sz w:val="20"/>
          <w:szCs w:val="20"/>
        </w:rPr>
        <w:t xml:space="preserve"> there</w:t>
      </w:r>
      <w:r w:rsidR="009B42AA" w:rsidRPr="00A76370">
        <w:rPr>
          <w:b w:val="0"/>
          <w:bCs/>
          <w:sz w:val="20"/>
          <w:szCs w:val="20"/>
        </w:rPr>
        <w:t xml:space="preserve"> is a right to a “reasonable opportunity to choose” to end a pregnancy.  He described the majority’s decision to overrule </w:t>
      </w:r>
      <w:r w:rsidR="009B42AA" w:rsidRPr="00A76370">
        <w:rPr>
          <w:b w:val="0"/>
          <w:bCs/>
          <w:i/>
          <w:iCs/>
          <w:sz w:val="20"/>
          <w:szCs w:val="20"/>
        </w:rPr>
        <w:t>Roe</w:t>
      </w:r>
      <w:r w:rsidR="009B42AA" w:rsidRPr="00A76370">
        <w:rPr>
          <w:b w:val="0"/>
          <w:bCs/>
          <w:sz w:val="20"/>
          <w:szCs w:val="20"/>
        </w:rPr>
        <w:t xml:space="preserve"> and </w:t>
      </w:r>
      <w:r w:rsidR="009B42AA" w:rsidRPr="00A76370">
        <w:rPr>
          <w:b w:val="0"/>
          <w:bCs/>
          <w:i/>
          <w:iCs/>
          <w:sz w:val="20"/>
          <w:szCs w:val="20"/>
        </w:rPr>
        <w:t>Casey</w:t>
      </w:r>
      <w:r w:rsidR="009B42AA" w:rsidRPr="00A76370">
        <w:rPr>
          <w:b w:val="0"/>
          <w:bCs/>
          <w:sz w:val="20"/>
          <w:szCs w:val="20"/>
        </w:rPr>
        <w:t xml:space="preserve"> entirely as</w:t>
      </w:r>
      <w:r w:rsidR="00643EA0" w:rsidRPr="00A76370">
        <w:rPr>
          <w:b w:val="0"/>
          <w:bCs/>
          <w:sz w:val="20"/>
          <w:szCs w:val="20"/>
        </w:rPr>
        <w:t xml:space="preserve"> “unnecessary” and</w:t>
      </w:r>
      <w:r w:rsidR="009B42AA" w:rsidRPr="00A76370">
        <w:rPr>
          <w:b w:val="0"/>
          <w:bCs/>
          <w:sz w:val="20"/>
          <w:szCs w:val="20"/>
        </w:rPr>
        <w:t xml:space="preserve"> a “serious jolt to the legal system.” </w:t>
      </w:r>
    </w:p>
    <w:p w14:paraId="0BCDB52C" w14:textId="64179351" w:rsidR="009A029F" w:rsidRPr="00A76370" w:rsidRDefault="009A029F" w:rsidP="002212B0">
      <w:pPr>
        <w:pStyle w:val="Subhead3sl"/>
        <w:spacing w:before="0"/>
        <w:rPr>
          <w:b w:val="0"/>
          <w:bCs/>
          <w:sz w:val="20"/>
          <w:szCs w:val="20"/>
        </w:rPr>
      </w:pPr>
      <w:r w:rsidRPr="00A76370">
        <w:rPr>
          <w:b w:val="0"/>
          <w:bCs/>
          <w:sz w:val="20"/>
          <w:szCs w:val="20"/>
        </w:rPr>
        <w:t xml:space="preserve">Justice Thomas also concurred with the </w:t>
      </w:r>
      <w:r w:rsidR="00BF5032" w:rsidRPr="00A76370">
        <w:rPr>
          <w:b w:val="0"/>
          <w:bCs/>
          <w:sz w:val="20"/>
          <w:szCs w:val="20"/>
        </w:rPr>
        <w:t>decision but</w:t>
      </w:r>
      <w:r w:rsidRPr="00A76370">
        <w:rPr>
          <w:b w:val="0"/>
          <w:bCs/>
          <w:sz w:val="20"/>
          <w:szCs w:val="20"/>
        </w:rPr>
        <w:t xml:space="preserve"> went further stating that there are other cases</w:t>
      </w:r>
      <w:r w:rsidR="00496559" w:rsidRPr="00A76370">
        <w:rPr>
          <w:b w:val="0"/>
          <w:bCs/>
          <w:sz w:val="20"/>
          <w:szCs w:val="20"/>
        </w:rPr>
        <w:t xml:space="preserve"> </w:t>
      </w:r>
      <w:r w:rsidR="00393736" w:rsidRPr="00A76370">
        <w:rPr>
          <w:b w:val="0"/>
          <w:bCs/>
          <w:sz w:val="20"/>
          <w:szCs w:val="20"/>
        </w:rPr>
        <w:t xml:space="preserve">that </w:t>
      </w:r>
      <w:r w:rsidR="00496559" w:rsidRPr="00A76370">
        <w:rPr>
          <w:b w:val="0"/>
          <w:bCs/>
          <w:sz w:val="20"/>
          <w:szCs w:val="20"/>
        </w:rPr>
        <w:t>were decided based on the</w:t>
      </w:r>
      <w:r w:rsidRPr="00A76370">
        <w:rPr>
          <w:b w:val="0"/>
          <w:bCs/>
          <w:sz w:val="20"/>
          <w:szCs w:val="20"/>
        </w:rPr>
        <w:t xml:space="preserve"> Due Process</w:t>
      </w:r>
      <w:r w:rsidR="00BF5032" w:rsidRPr="00A76370">
        <w:rPr>
          <w:b w:val="0"/>
          <w:bCs/>
          <w:sz w:val="20"/>
          <w:szCs w:val="20"/>
        </w:rPr>
        <w:t xml:space="preserve"> Clause</w:t>
      </w:r>
      <w:r w:rsidRPr="00A76370">
        <w:rPr>
          <w:b w:val="0"/>
          <w:bCs/>
          <w:sz w:val="20"/>
          <w:szCs w:val="20"/>
        </w:rPr>
        <w:t xml:space="preserve"> </w:t>
      </w:r>
      <w:r w:rsidR="00496559" w:rsidRPr="00A76370">
        <w:rPr>
          <w:b w:val="0"/>
          <w:bCs/>
          <w:sz w:val="20"/>
          <w:szCs w:val="20"/>
        </w:rPr>
        <w:t>that</w:t>
      </w:r>
      <w:r w:rsidR="00BF5032" w:rsidRPr="00A76370">
        <w:rPr>
          <w:b w:val="0"/>
          <w:bCs/>
          <w:sz w:val="20"/>
          <w:szCs w:val="20"/>
        </w:rPr>
        <w:t xml:space="preserve"> </w:t>
      </w:r>
      <w:r w:rsidR="009B42AA" w:rsidRPr="00A76370">
        <w:rPr>
          <w:b w:val="0"/>
          <w:bCs/>
          <w:sz w:val="20"/>
          <w:szCs w:val="20"/>
        </w:rPr>
        <w:t xml:space="preserve">should </w:t>
      </w:r>
      <w:r w:rsidR="00496559" w:rsidRPr="00A76370">
        <w:rPr>
          <w:b w:val="0"/>
          <w:bCs/>
          <w:sz w:val="20"/>
          <w:szCs w:val="20"/>
        </w:rPr>
        <w:t xml:space="preserve">also be overruled such as </w:t>
      </w:r>
      <w:r w:rsidR="00496559" w:rsidRPr="00A76370">
        <w:rPr>
          <w:b w:val="0"/>
          <w:bCs/>
          <w:i/>
          <w:iCs/>
          <w:sz w:val="20"/>
          <w:szCs w:val="20"/>
        </w:rPr>
        <w:t>Griswold v. Connecticut</w:t>
      </w:r>
      <w:r w:rsidR="00496559" w:rsidRPr="00A76370">
        <w:rPr>
          <w:b w:val="0"/>
          <w:bCs/>
          <w:sz w:val="20"/>
          <w:szCs w:val="20"/>
        </w:rPr>
        <w:t xml:space="preserve"> (</w:t>
      </w:r>
      <w:r w:rsidR="009B42AA" w:rsidRPr="00A76370">
        <w:rPr>
          <w:b w:val="0"/>
          <w:bCs/>
          <w:sz w:val="20"/>
          <w:szCs w:val="20"/>
        </w:rPr>
        <w:t xml:space="preserve">recognized right to </w:t>
      </w:r>
      <w:r w:rsidR="00643EA0" w:rsidRPr="00A76370">
        <w:rPr>
          <w:b w:val="0"/>
          <w:bCs/>
          <w:sz w:val="20"/>
          <w:szCs w:val="20"/>
        </w:rPr>
        <w:t xml:space="preserve">purchase and use </w:t>
      </w:r>
      <w:r w:rsidR="00496559" w:rsidRPr="00A76370">
        <w:rPr>
          <w:b w:val="0"/>
          <w:bCs/>
          <w:sz w:val="20"/>
          <w:szCs w:val="20"/>
        </w:rPr>
        <w:t xml:space="preserve">to contraceptives), </w:t>
      </w:r>
      <w:r w:rsidR="00496559" w:rsidRPr="00A76370">
        <w:rPr>
          <w:b w:val="0"/>
          <w:bCs/>
          <w:i/>
          <w:iCs/>
          <w:sz w:val="20"/>
          <w:szCs w:val="20"/>
        </w:rPr>
        <w:t>Lawrence v. Texas</w:t>
      </w:r>
      <w:r w:rsidR="00496559" w:rsidRPr="00A76370">
        <w:rPr>
          <w:b w:val="0"/>
          <w:bCs/>
          <w:sz w:val="20"/>
          <w:szCs w:val="20"/>
        </w:rPr>
        <w:t xml:space="preserve"> (struck down laws outlawing sex between same</w:t>
      </w:r>
      <w:r w:rsidR="005D0FCF" w:rsidRPr="00A76370">
        <w:rPr>
          <w:b w:val="0"/>
          <w:bCs/>
          <w:sz w:val="20"/>
          <w:szCs w:val="20"/>
        </w:rPr>
        <w:t>-</w:t>
      </w:r>
      <w:r w:rsidR="00496559" w:rsidRPr="00A76370">
        <w:rPr>
          <w:b w:val="0"/>
          <w:bCs/>
          <w:sz w:val="20"/>
          <w:szCs w:val="20"/>
        </w:rPr>
        <w:t xml:space="preserve">sex adults), and </w:t>
      </w:r>
      <w:r w:rsidR="00496559" w:rsidRPr="00A76370">
        <w:rPr>
          <w:b w:val="0"/>
          <w:bCs/>
          <w:i/>
          <w:iCs/>
          <w:sz w:val="20"/>
          <w:szCs w:val="20"/>
        </w:rPr>
        <w:t>Obergefell v. Hodges</w:t>
      </w:r>
      <w:r w:rsidR="00496559" w:rsidRPr="00A76370">
        <w:rPr>
          <w:b w:val="0"/>
          <w:bCs/>
          <w:sz w:val="20"/>
          <w:szCs w:val="20"/>
        </w:rPr>
        <w:t xml:space="preserve"> (</w:t>
      </w:r>
      <w:r w:rsidR="009B42AA" w:rsidRPr="00A76370">
        <w:rPr>
          <w:b w:val="0"/>
          <w:bCs/>
          <w:sz w:val="20"/>
          <w:szCs w:val="20"/>
        </w:rPr>
        <w:t xml:space="preserve">recognized </w:t>
      </w:r>
      <w:r w:rsidR="00443385" w:rsidRPr="00A76370">
        <w:rPr>
          <w:b w:val="0"/>
          <w:bCs/>
          <w:sz w:val="20"/>
          <w:szCs w:val="20"/>
        </w:rPr>
        <w:t xml:space="preserve">the </w:t>
      </w:r>
      <w:r w:rsidR="009B42AA" w:rsidRPr="00A76370">
        <w:rPr>
          <w:b w:val="0"/>
          <w:bCs/>
          <w:sz w:val="20"/>
          <w:szCs w:val="20"/>
        </w:rPr>
        <w:t xml:space="preserve">right to </w:t>
      </w:r>
      <w:r w:rsidR="00496559" w:rsidRPr="00A76370">
        <w:rPr>
          <w:b w:val="0"/>
          <w:bCs/>
          <w:sz w:val="20"/>
          <w:szCs w:val="20"/>
        </w:rPr>
        <w:t>same-sex marriage).</w:t>
      </w:r>
    </w:p>
    <w:p w14:paraId="47D97531" w14:textId="5B063527" w:rsidR="007A6E43" w:rsidRPr="00A76370" w:rsidRDefault="009A029F" w:rsidP="002212B0">
      <w:pPr>
        <w:pStyle w:val="Subhead3sl"/>
        <w:spacing w:before="0"/>
        <w:rPr>
          <w:b w:val="0"/>
          <w:bCs/>
          <w:sz w:val="20"/>
          <w:szCs w:val="20"/>
        </w:rPr>
      </w:pPr>
      <w:r w:rsidRPr="00A76370">
        <w:rPr>
          <w:b w:val="0"/>
          <w:bCs/>
          <w:sz w:val="20"/>
          <w:szCs w:val="20"/>
        </w:rPr>
        <w:t>Justice Kavanaugh wrote a concurrence emphasizing that the Court must stay neutral on the issue of abortion because the Constitution does not address it.</w:t>
      </w:r>
      <w:r w:rsidR="007A6E43" w:rsidRPr="00A76370">
        <w:rPr>
          <w:b w:val="0"/>
          <w:bCs/>
          <w:sz w:val="20"/>
          <w:szCs w:val="20"/>
        </w:rPr>
        <w:t xml:space="preserve">  </w:t>
      </w:r>
    </w:p>
    <w:p w14:paraId="48369CE6" w14:textId="1526AE3E" w:rsidR="00D6574B" w:rsidRPr="00A76370" w:rsidRDefault="00D6574B" w:rsidP="006C4E33">
      <w:pPr>
        <w:pStyle w:val="Subhead3sl"/>
        <w:rPr>
          <w:sz w:val="20"/>
          <w:szCs w:val="20"/>
        </w:rPr>
      </w:pPr>
      <w:r w:rsidRPr="00A76370">
        <w:rPr>
          <w:sz w:val="20"/>
          <w:szCs w:val="20"/>
        </w:rPr>
        <w:t>Dissent</w:t>
      </w:r>
      <w:r w:rsidR="006C4E33" w:rsidRPr="00A76370">
        <w:rPr>
          <w:sz w:val="20"/>
          <w:szCs w:val="20"/>
        </w:rPr>
        <w:t xml:space="preserve">: </w:t>
      </w:r>
      <w:r w:rsidR="003F67DD" w:rsidRPr="00A76370">
        <w:rPr>
          <w:b w:val="0"/>
          <w:sz w:val="20"/>
          <w:szCs w:val="20"/>
        </w:rPr>
        <w:t>T</w:t>
      </w:r>
      <w:r w:rsidRPr="00A76370">
        <w:rPr>
          <w:b w:val="0"/>
          <w:sz w:val="20"/>
          <w:szCs w:val="20"/>
        </w:rPr>
        <w:t>he dissent</w:t>
      </w:r>
      <w:r w:rsidR="003F67DD" w:rsidRPr="00A76370">
        <w:rPr>
          <w:b w:val="0"/>
          <w:sz w:val="20"/>
          <w:szCs w:val="20"/>
        </w:rPr>
        <w:t>ers</w:t>
      </w:r>
      <w:r w:rsidRPr="00A76370">
        <w:rPr>
          <w:b w:val="0"/>
          <w:sz w:val="20"/>
          <w:szCs w:val="20"/>
        </w:rPr>
        <w:t xml:space="preserve"> argued that </w:t>
      </w:r>
      <w:r w:rsidR="00D07860" w:rsidRPr="00A76370">
        <w:rPr>
          <w:b w:val="0"/>
          <w:sz w:val="20"/>
          <w:szCs w:val="20"/>
        </w:rPr>
        <w:t xml:space="preserve">the Court was wrong in disregarding </w:t>
      </w:r>
      <w:r w:rsidR="00D07860" w:rsidRPr="00A76370">
        <w:rPr>
          <w:b w:val="0"/>
          <w:i/>
          <w:iCs/>
          <w:sz w:val="20"/>
          <w:szCs w:val="20"/>
        </w:rPr>
        <w:t>stare decisis</w:t>
      </w:r>
      <w:r w:rsidR="00D07860" w:rsidRPr="00A76370">
        <w:rPr>
          <w:b w:val="0"/>
          <w:sz w:val="20"/>
          <w:szCs w:val="20"/>
        </w:rPr>
        <w:t xml:space="preserve"> and overruling a precedent that has been in place for over a half century and reaffirmed in decisions throughout that time.</w:t>
      </w:r>
      <w:r w:rsidR="00643EA0" w:rsidRPr="00A76370">
        <w:rPr>
          <w:b w:val="0"/>
          <w:sz w:val="20"/>
          <w:szCs w:val="20"/>
        </w:rPr>
        <w:t xml:space="preserve"> They stated that the majority’s decision would result in “the curtailment of women’s rights, and of their status as free and equal citizens” and that it would harm the Court’s legitimacy.</w:t>
      </w:r>
      <w:r w:rsidR="00D07860" w:rsidRPr="00A76370">
        <w:rPr>
          <w:b w:val="0"/>
          <w:sz w:val="20"/>
          <w:szCs w:val="20"/>
        </w:rPr>
        <w:t xml:space="preserve"> They also warned that many other due process rights are also in jeopardy</w:t>
      </w:r>
      <w:r w:rsidR="00643EA0" w:rsidRPr="00A76370">
        <w:rPr>
          <w:b w:val="0"/>
          <w:sz w:val="20"/>
          <w:szCs w:val="20"/>
        </w:rPr>
        <w:t>,</w:t>
      </w:r>
      <w:r w:rsidR="00D07860" w:rsidRPr="00A76370">
        <w:rPr>
          <w:b w:val="0"/>
          <w:sz w:val="20"/>
          <w:szCs w:val="20"/>
        </w:rPr>
        <w:t xml:space="preserve"> such as the right</w:t>
      </w:r>
      <w:r w:rsidR="00B124A2" w:rsidRPr="00A76370">
        <w:rPr>
          <w:b w:val="0"/>
          <w:sz w:val="20"/>
          <w:szCs w:val="20"/>
        </w:rPr>
        <w:t>s</w:t>
      </w:r>
      <w:r w:rsidR="00D07860" w:rsidRPr="00A76370">
        <w:rPr>
          <w:b w:val="0"/>
          <w:sz w:val="20"/>
          <w:szCs w:val="20"/>
        </w:rPr>
        <w:t xml:space="preserve"> to contraception</w:t>
      </w:r>
      <w:r w:rsidR="00643EA0" w:rsidRPr="00A76370">
        <w:rPr>
          <w:b w:val="0"/>
          <w:sz w:val="20"/>
          <w:szCs w:val="20"/>
        </w:rPr>
        <w:t>, same-sex intimacy, and same-sex marriage</w:t>
      </w:r>
      <w:r w:rsidR="00D07860" w:rsidRPr="00A76370">
        <w:rPr>
          <w:b w:val="0"/>
          <w:sz w:val="20"/>
          <w:szCs w:val="20"/>
        </w:rPr>
        <w:t>.</w:t>
      </w:r>
      <w:r w:rsidR="00D07860" w:rsidRPr="00A76370">
        <w:rPr>
          <w:sz w:val="20"/>
          <w:szCs w:val="20"/>
        </w:rPr>
        <w:t xml:space="preserve"> </w:t>
      </w:r>
    </w:p>
    <w:p w14:paraId="39C4E690" w14:textId="5CC5C2CD" w:rsidR="00705C1A" w:rsidRPr="00A76370" w:rsidRDefault="00705C1A" w:rsidP="00EF51B8">
      <w:pPr>
        <w:pStyle w:val="Bulletsl"/>
        <w:numPr>
          <w:ilvl w:val="0"/>
          <w:numId w:val="0"/>
        </w:numPr>
        <w:spacing w:before="360" w:line="276" w:lineRule="auto"/>
        <w:rPr>
          <w:rFonts w:ascii="Gill Sans MT" w:hAnsi="Gill Sans MT"/>
          <w:b/>
          <w:bCs/>
          <w:i/>
          <w:iCs/>
          <w:sz w:val="20"/>
          <w:szCs w:val="20"/>
        </w:rPr>
      </w:pPr>
      <w:r w:rsidRPr="00A76370">
        <w:rPr>
          <w:rFonts w:ascii="Gill Sans MT" w:hAnsi="Gill Sans MT"/>
          <w:b/>
          <w:bCs/>
          <w:i/>
          <w:iCs/>
          <w:sz w:val="20"/>
          <w:szCs w:val="20"/>
        </w:rPr>
        <w:t>Impact</w:t>
      </w:r>
    </w:p>
    <w:p w14:paraId="7D45AA9A" w14:textId="5A7EEEB5" w:rsidR="00461024" w:rsidRPr="00A76370" w:rsidRDefault="00461024" w:rsidP="00042BE8">
      <w:pPr>
        <w:pStyle w:val="Bulletsl"/>
        <w:numPr>
          <w:ilvl w:val="0"/>
          <w:numId w:val="0"/>
        </w:numPr>
        <w:spacing w:line="276" w:lineRule="auto"/>
        <w:rPr>
          <w:sz w:val="20"/>
          <w:szCs w:val="20"/>
        </w:rPr>
      </w:pPr>
      <w:r w:rsidRPr="00A76370">
        <w:rPr>
          <w:sz w:val="20"/>
          <w:szCs w:val="20"/>
        </w:rPr>
        <w:t xml:space="preserve">The decision in </w:t>
      </w:r>
      <w:r w:rsidRPr="00A76370">
        <w:rPr>
          <w:i/>
          <w:iCs/>
          <w:sz w:val="20"/>
          <w:szCs w:val="20"/>
        </w:rPr>
        <w:t xml:space="preserve">Dobbs v. Jackson Women’s Health </w:t>
      </w:r>
      <w:r w:rsidR="00146CAD" w:rsidRPr="00A76370">
        <w:rPr>
          <w:sz w:val="20"/>
          <w:szCs w:val="20"/>
        </w:rPr>
        <w:t xml:space="preserve">overturned the nearly </w:t>
      </w:r>
      <w:r w:rsidR="00D957DA" w:rsidRPr="00A76370">
        <w:rPr>
          <w:sz w:val="20"/>
          <w:szCs w:val="20"/>
        </w:rPr>
        <w:t>50-year</w:t>
      </w:r>
      <w:r w:rsidR="00146CAD" w:rsidRPr="00A76370">
        <w:rPr>
          <w:sz w:val="20"/>
          <w:szCs w:val="20"/>
        </w:rPr>
        <w:t xml:space="preserve"> precedent set in </w:t>
      </w:r>
      <w:r w:rsidR="00146CAD" w:rsidRPr="00A76370">
        <w:rPr>
          <w:i/>
          <w:iCs/>
          <w:sz w:val="20"/>
          <w:szCs w:val="20"/>
        </w:rPr>
        <w:t>Roe v. Wade</w:t>
      </w:r>
      <w:r w:rsidR="00DE2704" w:rsidRPr="00A76370">
        <w:rPr>
          <w:i/>
          <w:iCs/>
          <w:sz w:val="20"/>
          <w:szCs w:val="20"/>
        </w:rPr>
        <w:t>.</w:t>
      </w:r>
      <w:r w:rsidR="00DE2704" w:rsidRPr="00A76370">
        <w:rPr>
          <w:sz w:val="20"/>
          <w:szCs w:val="20"/>
        </w:rPr>
        <w:t xml:space="preserve"> This decision returned the authority for regulating abortion to the states. </w:t>
      </w:r>
      <w:r w:rsidR="0023339B" w:rsidRPr="00A76370">
        <w:rPr>
          <w:sz w:val="20"/>
          <w:szCs w:val="20"/>
        </w:rPr>
        <w:t>One year after the decision</w:t>
      </w:r>
      <w:r w:rsidR="00885C63" w:rsidRPr="00A76370">
        <w:rPr>
          <w:sz w:val="20"/>
          <w:szCs w:val="20"/>
        </w:rPr>
        <w:t xml:space="preserve">, more than 20 states </w:t>
      </w:r>
      <w:r w:rsidR="00D957DA" w:rsidRPr="00A76370">
        <w:rPr>
          <w:sz w:val="20"/>
          <w:szCs w:val="20"/>
        </w:rPr>
        <w:t>had banned</w:t>
      </w:r>
      <w:r w:rsidR="00885C63" w:rsidRPr="00A76370">
        <w:rPr>
          <w:sz w:val="20"/>
          <w:szCs w:val="20"/>
        </w:rPr>
        <w:t xml:space="preserve"> </w:t>
      </w:r>
      <w:r w:rsidR="00D957DA" w:rsidRPr="00A76370">
        <w:rPr>
          <w:sz w:val="20"/>
          <w:szCs w:val="20"/>
        </w:rPr>
        <w:t>the procedure</w:t>
      </w:r>
      <w:r w:rsidR="00885C63" w:rsidRPr="00A76370">
        <w:rPr>
          <w:sz w:val="20"/>
          <w:szCs w:val="20"/>
        </w:rPr>
        <w:t xml:space="preserve"> or restrict</w:t>
      </w:r>
      <w:r w:rsidR="00D957DA" w:rsidRPr="00A76370">
        <w:rPr>
          <w:sz w:val="20"/>
          <w:szCs w:val="20"/>
        </w:rPr>
        <w:t>ed</w:t>
      </w:r>
      <w:r w:rsidR="00885C63" w:rsidRPr="00A76370">
        <w:rPr>
          <w:sz w:val="20"/>
          <w:szCs w:val="20"/>
        </w:rPr>
        <w:t xml:space="preserve"> abortions earlier in a pregnancy than was allowed under</w:t>
      </w:r>
      <w:r w:rsidR="00885C63" w:rsidRPr="00A76370">
        <w:rPr>
          <w:i/>
          <w:iCs/>
          <w:sz w:val="20"/>
          <w:szCs w:val="20"/>
        </w:rPr>
        <w:t xml:space="preserve"> Roe v. Wade</w:t>
      </w:r>
      <w:r w:rsidR="00885C63" w:rsidRPr="00A76370">
        <w:rPr>
          <w:sz w:val="20"/>
          <w:szCs w:val="20"/>
        </w:rPr>
        <w:t xml:space="preserve">. </w:t>
      </w:r>
    </w:p>
    <w:p w14:paraId="5A2E3941" w14:textId="2A2B6145" w:rsidR="00D43C08" w:rsidRPr="00DE2704" w:rsidRDefault="00D43C08" w:rsidP="00042BE8">
      <w:pPr>
        <w:pStyle w:val="Bulletsl"/>
        <w:numPr>
          <w:ilvl w:val="0"/>
          <w:numId w:val="0"/>
        </w:numPr>
        <w:spacing w:line="276" w:lineRule="auto"/>
      </w:pPr>
    </w:p>
    <w:sectPr w:rsidR="00D43C08" w:rsidRPr="00DE2704" w:rsidSect="00E45CC3">
      <w:footerReference w:type="default" r:id="rId12"/>
      <w:footerReference w:type="first" r:id="rId13"/>
      <w:endnotePr>
        <w:numFmt w:val="decimal"/>
      </w:endnotePr>
      <w:pgSz w:w="12240" w:h="15840"/>
      <w:pgMar w:top="180" w:right="180" w:bottom="0" w:left="27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6E5F" w14:textId="77777777" w:rsidR="009B4692" w:rsidRDefault="009B4692">
      <w:pPr>
        <w:spacing w:after="0"/>
      </w:pPr>
      <w:r>
        <w:separator/>
      </w:r>
    </w:p>
  </w:endnote>
  <w:endnote w:type="continuationSeparator" w:id="0">
    <w:p w14:paraId="39B5173A" w14:textId="77777777" w:rsidR="009B4692" w:rsidRDefault="009B4692">
      <w:pPr>
        <w:spacing w:after="0"/>
      </w:pPr>
      <w:r>
        <w:continuationSeparator/>
      </w:r>
    </w:p>
  </w:endnote>
  <w:endnote w:id="1">
    <w:p w14:paraId="2F7E8F8C" w14:textId="1565960C" w:rsidR="008A0443" w:rsidRDefault="008A0443" w:rsidP="008A0443">
      <w:pPr>
        <w:pStyle w:val="EndnoteText"/>
        <w:spacing w:after="120"/>
      </w:pPr>
      <w:r>
        <w:rPr>
          <w:rStyle w:val="EndnoteReference"/>
        </w:rPr>
        <w:endnoteRef/>
      </w:r>
      <w:r>
        <w:t xml:space="preserve"> </w:t>
      </w:r>
      <w:r w:rsidRPr="002212B0">
        <w:t xml:space="preserve">Quoted content from </w:t>
      </w:r>
      <w:r w:rsidRPr="002212B0">
        <w:rPr>
          <w:i/>
          <w:iCs/>
        </w:rPr>
        <w:t>Dobbs v. Jackson Women’s Health Organization,</w:t>
      </w:r>
      <w:r w:rsidRPr="002212B0">
        <w:t xml:space="preserve"> 597 U.S. ___</w:t>
      </w:r>
      <w:r>
        <w:t xml:space="preserve"> </w:t>
      </w:r>
      <w:r w:rsidRPr="002212B0">
        <w:t xml:space="preserve">(2022), </w:t>
      </w:r>
      <w:hyperlink r:id="rId1" w:history="1">
        <w:r w:rsidRPr="002212B0">
          <w:rPr>
            <w:rStyle w:val="Hyperlink"/>
            <w:sz w:val="20"/>
          </w:rPr>
          <w:t>https://www.supremecourt.gov/opinions/21pdf/19-1392_6j37.pdf</w:t>
        </w:r>
      </w:hyperlink>
      <w:r w:rsidRPr="002212B0">
        <w:t>.</w:t>
      </w:r>
      <w:r>
        <w:t xml:space="preserve">  </w:t>
      </w:r>
    </w:p>
    <w:p w14:paraId="753A09BF" w14:textId="4E94D7DA" w:rsidR="0022672C" w:rsidRDefault="0022672C" w:rsidP="008A0443">
      <w:pPr>
        <w:pStyle w:val="EndnoteText"/>
        <w:spacing w:after="120"/>
      </w:pPr>
    </w:p>
    <w:p w14:paraId="3F299C97" w14:textId="3A6910E4" w:rsidR="0022672C" w:rsidRDefault="0022672C" w:rsidP="008A0443">
      <w:pPr>
        <w:pStyle w:val="EndnoteText"/>
        <w:spacing w:after="120"/>
      </w:pPr>
    </w:p>
    <w:p w14:paraId="6BB9D1F8" w14:textId="52B8FA73" w:rsidR="0022672C" w:rsidRDefault="0022672C" w:rsidP="008A0443">
      <w:pPr>
        <w:pStyle w:val="EndnoteText"/>
        <w:spacing w:after="120"/>
      </w:pPr>
    </w:p>
    <w:p w14:paraId="1D6CE239" w14:textId="752F7361" w:rsidR="0022672C" w:rsidRDefault="0022672C" w:rsidP="008A0443">
      <w:pPr>
        <w:pStyle w:val="EndnoteText"/>
        <w:spacing w:after="120"/>
      </w:pPr>
    </w:p>
    <w:p w14:paraId="386A45CD" w14:textId="6004A329" w:rsidR="0022672C" w:rsidRDefault="0022672C" w:rsidP="008A0443">
      <w:pPr>
        <w:pStyle w:val="EndnoteText"/>
        <w:spacing w:after="120"/>
      </w:pPr>
    </w:p>
    <w:p w14:paraId="2CF445FF" w14:textId="322E02E8" w:rsidR="0022672C" w:rsidRDefault="0022672C" w:rsidP="008A0443">
      <w:pPr>
        <w:pStyle w:val="EndnoteText"/>
        <w:spacing w:after="120"/>
      </w:pPr>
    </w:p>
    <w:p w14:paraId="2A324BC2" w14:textId="66912445" w:rsidR="0022672C" w:rsidRDefault="0022672C" w:rsidP="008A0443">
      <w:pPr>
        <w:pStyle w:val="EndnoteText"/>
        <w:spacing w:after="120"/>
      </w:pPr>
    </w:p>
    <w:p w14:paraId="69296041" w14:textId="735E7ABF" w:rsidR="0022672C" w:rsidRDefault="0022672C" w:rsidP="008A0443">
      <w:pPr>
        <w:pStyle w:val="EndnoteText"/>
        <w:spacing w:after="120"/>
      </w:pPr>
    </w:p>
    <w:p w14:paraId="0A97E920" w14:textId="00D72E4C" w:rsidR="0022672C" w:rsidRDefault="0022672C" w:rsidP="008A0443">
      <w:pPr>
        <w:pStyle w:val="EndnoteText"/>
        <w:spacing w:after="120"/>
      </w:pPr>
    </w:p>
    <w:p w14:paraId="5A17B987" w14:textId="6D541CB2" w:rsidR="0022672C" w:rsidRDefault="0022672C" w:rsidP="008A0443">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D24" w14:textId="14CD7A22" w:rsidR="00CF4EF6" w:rsidRPr="0005722F" w:rsidRDefault="00CF4EF6" w:rsidP="0005722F">
    <w:pPr>
      <w:spacing w:after="0"/>
      <w:rPr>
        <w:sz w:val="22"/>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97F" w14:textId="1F3C106F" w:rsidR="00CF4EF6" w:rsidRPr="0005722F" w:rsidRDefault="00CF4EF6" w:rsidP="005169EB">
    <w:pPr>
      <w:spacing w:after="0"/>
      <w:rPr>
        <w:noProof/>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A292" w14:textId="77777777" w:rsidR="009B4692" w:rsidRDefault="009B4692">
      <w:pPr>
        <w:spacing w:after="0"/>
      </w:pPr>
      <w:r>
        <w:separator/>
      </w:r>
    </w:p>
  </w:footnote>
  <w:footnote w:type="continuationSeparator" w:id="0">
    <w:p w14:paraId="2B1F8A83" w14:textId="77777777" w:rsidR="009B4692" w:rsidRDefault="009B46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0CD"/>
    <w:multiLevelType w:val="hybridMultilevel"/>
    <w:tmpl w:val="45649D56"/>
    <w:lvl w:ilvl="0" w:tplc="E21C11B4">
      <w:start w:val="1"/>
      <w:numFmt w:val="decimal"/>
      <w:pStyle w:val="Numberedlistsl"/>
      <w:lvlText w:val="%1."/>
      <w:lvlJc w:val="left"/>
      <w:pPr>
        <w:ind w:left="1440" w:hanging="360"/>
      </w:pPr>
    </w:lvl>
    <w:lvl w:ilvl="1" w:tplc="86B41654" w:tentative="1">
      <w:start w:val="1"/>
      <w:numFmt w:val="lowerLetter"/>
      <w:lvlText w:val="%2."/>
      <w:lvlJc w:val="left"/>
      <w:pPr>
        <w:ind w:left="2160" w:hanging="360"/>
      </w:pPr>
    </w:lvl>
    <w:lvl w:ilvl="2" w:tplc="E0362B3C" w:tentative="1">
      <w:start w:val="1"/>
      <w:numFmt w:val="lowerRoman"/>
      <w:lvlText w:val="%3."/>
      <w:lvlJc w:val="right"/>
      <w:pPr>
        <w:ind w:left="2880" w:hanging="180"/>
      </w:pPr>
    </w:lvl>
    <w:lvl w:ilvl="3" w:tplc="F0AEC444" w:tentative="1">
      <w:start w:val="1"/>
      <w:numFmt w:val="decimal"/>
      <w:lvlText w:val="%4."/>
      <w:lvlJc w:val="left"/>
      <w:pPr>
        <w:ind w:left="3600" w:hanging="360"/>
      </w:pPr>
    </w:lvl>
    <w:lvl w:ilvl="4" w:tplc="08B44300" w:tentative="1">
      <w:start w:val="1"/>
      <w:numFmt w:val="lowerLetter"/>
      <w:lvlText w:val="%5."/>
      <w:lvlJc w:val="left"/>
      <w:pPr>
        <w:ind w:left="4320" w:hanging="360"/>
      </w:pPr>
    </w:lvl>
    <w:lvl w:ilvl="5" w:tplc="B7E6AB9E" w:tentative="1">
      <w:start w:val="1"/>
      <w:numFmt w:val="lowerRoman"/>
      <w:lvlText w:val="%6."/>
      <w:lvlJc w:val="right"/>
      <w:pPr>
        <w:ind w:left="5040" w:hanging="180"/>
      </w:pPr>
    </w:lvl>
    <w:lvl w:ilvl="6" w:tplc="48A68EFA" w:tentative="1">
      <w:start w:val="1"/>
      <w:numFmt w:val="decimal"/>
      <w:lvlText w:val="%7."/>
      <w:lvlJc w:val="left"/>
      <w:pPr>
        <w:ind w:left="5760" w:hanging="360"/>
      </w:pPr>
    </w:lvl>
    <w:lvl w:ilvl="7" w:tplc="966AF05A" w:tentative="1">
      <w:start w:val="1"/>
      <w:numFmt w:val="lowerLetter"/>
      <w:lvlText w:val="%8."/>
      <w:lvlJc w:val="left"/>
      <w:pPr>
        <w:ind w:left="6480" w:hanging="360"/>
      </w:pPr>
    </w:lvl>
    <w:lvl w:ilvl="8" w:tplc="600048F8" w:tentative="1">
      <w:start w:val="1"/>
      <w:numFmt w:val="lowerRoman"/>
      <w:lvlText w:val="%9."/>
      <w:lvlJc w:val="right"/>
      <w:pPr>
        <w:ind w:left="7200" w:hanging="180"/>
      </w:pPr>
    </w:lvl>
  </w:abstractNum>
  <w:abstractNum w:abstractNumId="1" w15:restartNumberingAfterBreak="0">
    <w:nsid w:val="173B5BBB"/>
    <w:multiLevelType w:val="hybridMultilevel"/>
    <w:tmpl w:val="BCBE6B80"/>
    <w:lvl w:ilvl="0" w:tplc="5A92FE9C">
      <w:start w:val="1"/>
      <w:numFmt w:val="bullet"/>
      <w:lvlText w:val=""/>
      <w:lvlJc w:val="left"/>
      <w:pPr>
        <w:ind w:left="720" w:hanging="360"/>
      </w:pPr>
      <w:rPr>
        <w:rFonts w:ascii="Symbol" w:hAnsi="Symbol" w:hint="default"/>
      </w:rPr>
    </w:lvl>
    <w:lvl w:ilvl="1" w:tplc="49CC6604">
      <w:start w:val="1"/>
      <w:numFmt w:val="bullet"/>
      <w:pStyle w:val="Sub-bulletsl"/>
      <w:lvlText w:val=""/>
      <w:lvlJc w:val="left"/>
      <w:pPr>
        <w:ind w:left="1440" w:hanging="360"/>
      </w:pPr>
      <w:rPr>
        <w:rFonts w:ascii="Symbol" w:hAnsi="Symbol" w:hint="default"/>
      </w:rPr>
    </w:lvl>
    <w:lvl w:ilvl="2" w:tplc="1A325D00" w:tentative="1">
      <w:start w:val="1"/>
      <w:numFmt w:val="bullet"/>
      <w:lvlText w:val=""/>
      <w:lvlJc w:val="left"/>
      <w:pPr>
        <w:ind w:left="2160" w:hanging="360"/>
      </w:pPr>
      <w:rPr>
        <w:rFonts w:ascii="Wingdings" w:hAnsi="Wingdings" w:hint="default"/>
      </w:rPr>
    </w:lvl>
    <w:lvl w:ilvl="3" w:tplc="6532C49E" w:tentative="1">
      <w:start w:val="1"/>
      <w:numFmt w:val="bullet"/>
      <w:lvlText w:val=""/>
      <w:lvlJc w:val="left"/>
      <w:pPr>
        <w:ind w:left="2880" w:hanging="360"/>
      </w:pPr>
      <w:rPr>
        <w:rFonts w:ascii="Symbol" w:hAnsi="Symbol" w:hint="default"/>
      </w:rPr>
    </w:lvl>
    <w:lvl w:ilvl="4" w:tplc="66FA0BA2" w:tentative="1">
      <w:start w:val="1"/>
      <w:numFmt w:val="bullet"/>
      <w:lvlText w:val="o"/>
      <w:lvlJc w:val="left"/>
      <w:pPr>
        <w:ind w:left="3600" w:hanging="360"/>
      </w:pPr>
      <w:rPr>
        <w:rFonts w:ascii="Courier New" w:hAnsi="Courier New" w:cs="Courier New" w:hint="default"/>
      </w:rPr>
    </w:lvl>
    <w:lvl w:ilvl="5" w:tplc="BED47BEC" w:tentative="1">
      <w:start w:val="1"/>
      <w:numFmt w:val="bullet"/>
      <w:lvlText w:val=""/>
      <w:lvlJc w:val="left"/>
      <w:pPr>
        <w:ind w:left="4320" w:hanging="360"/>
      </w:pPr>
      <w:rPr>
        <w:rFonts w:ascii="Wingdings" w:hAnsi="Wingdings" w:hint="default"/>
      </w:rPr>
    </w:lvl>
    <w:lvl w:ilvl="6" w:tplc="78F25CD4" w:tentative="1">
      <w:start w:val="1"/>
      <w:numFmt w:val="bullet"/>
      <w:lvlText w:val=""/>
      <w:lvlJc w:val="left"/>
      <w:pPr>
        <w:ind w:left="5040" w:hanging="360"/>
      </w:pPr>
      <w:rPr>
        <w:rFonts w:ascii="Symbol" w:hAnsi="Symbol" w:hint="default"/>
      </w:rPr>
    </w:lvl>
    <w:lvl w:ilvl="7" w:tplc="A55A09F4" w:tentative="1">
      <w:start w:val="1"/>
      <w:numFmt w:val="bullet"/>
      <w:lvlText w:val="o"/>
      <w:lvlJc w:val="left"/>
      <w:pPr>
        <w:ind w:left="5760" w:hanging="360"/>
      </w:pPr>
      <w:rPr>
        <w:rFonts w:ascii="Courier New" w:hAnsi="Courier New" w:cs="Courier New" w:hint="default"/>
      </w:rPr>
    </w:lvl>
    <w:lvl w:ilvl="8" w:tplc="51A230FA" w:tentative="1">
      <w:start w:val="1"/>
      <w:numFmt w:val="bullet"/>
      <w:lvlText w:val=""/>
      <w:lvlJc w:val="left"/>
      <w:pPr>
        <w:ind w:left="6480" w:hanging="360"/>
      </w:pPr>
      <w:rPr>
        <w:rFonts w:ascii="Wingdings" w:hAnsi="Wingdings" w:hint="default"/>
      </w:rPr>
    </w:lvl>
  </w:abstractNum>
  <w:abstractNum w:abstractNumId="2" w15:restartNumberingAfterBreak="0">
    <w:nsid w:val="1F82719B"/>
    <w:multiLevelType w:val="hybridMultilevel"/>
    <w:tmpl w:val="B3E27644"/>
    <w:lvl w:ilvl="0" w:tplc="5F885F8E">
      <w:start w:val="1"/>
      <w:numFmt w:val="upperRoman"/>
      <w:pStyle w:val="Outlinelevel1"/>
      <w:lvlText w:val="%1."/>
      <w:lvlJc w:val="right"/>
      <w:pPr>
        <w:ind w:left="720" w:hanging="360"/>
      </w:pPr>
    </w:lvl>
    <w:lvl w:ilvl="1" w:tplc="4FE2FF8E">
      <w:start w:val="1"/>
      <w:numFmt w:val="lowerLetter"/>
      <w:lvlText w:val="%2."/>
      <w:lvlJc w:val="left"/>
      <w:pPr>
        <w:ind w:left="1440" w:hanging="360"/>
      </w:pPr>
      <w:rPr>
        <w:b w:val="0"/>
      </w:rPr>
    </w:lvl>
    <w:lvl w:ilvl="2" w:tplc="AB346478">
      <w:start w:val="1"/>
      <w:numFmt w:val="lowerRoman"/>
      <w:lvlText w:val="%3."/>
      <w:lvlJc w:val="right"/>
      <w:pPr>
        <w:ind w:left="2070" w:hanging="180"/>
      </w:pPr>
      <w:rPr>
        <w:i w:val="0"/>
      </w:rPr>
    </w:lvl>
    <w:lvl w:ilvl="3" w:tplc="C324DC2A">
      <w:start w:val="1"/>
      <w:numFmt w:val="decimal"/>
      <w:lvlText w:val="%4."/>
      <w:lvlJc w:val="left"/>
      <w:pPr>
        <w:ind w:left="2880" w:hanging="360"/>
      </w:pPr>
    </w:lvl>
    <w:lvl w:ilvl="4" w:tplc="D8CA6DBE" w:tentative="1">
      <w:start w:val="1"/>
      <w:numFmt w:val="lowerLetter"/>
      <w:lvlText w:val="%5."/>
      <w:lvlJc w:val="left"/>
      <w:pPr>
        <w:ind w:left="3600" w:hanging="360"/>
      </w:pPr>
    </w:lvl>
    <w:lvl w:ilvl="5" w:tplc="74507EEE" w:tentative="1">
      <w:start w:val="1"/>
      <w:numFmt w:val="lowerRoman"/>
      <w:lvlText w:val="%6."/>
      <w:lvlJc w:val="right"/>
      <w:pPr>
        <w:ind w:left="4320" w:hanging="180"/>
      </w:pPr>
    </w:lvl>
    <w:lvl w:ilvl="6" w:tplc="F268397C" w:tentative="1">
      <w:start w:val="1"/>
      <w:numFmt w:val="decimal"/>
      <w:lvlText w:val="%7."/>
      <w:lvlJc w:val="left"/>
      <w:pPr>
        <w:ind w:left="5040" w:hanging="360"/>
      </w:pPr>
    </w:lvl>
    <w:lvl w:ilvl="7" w:tplc="C83E99C4" w:tentative="1">
      <w:start w:val="1"/>
      <w:numFmt w:val="lowerLetter"/>
      <w:lvlText w:val="%8."/>
      <w:lvlJc w:val="left"/>
      <w:pPr>
        <w:ind w:left="5760" w:hanging="360"/>
      </w:pPr>
    </w:lvl>
    <w:lvl w:ilvl="8" w:tplc="A3BCCAA6" w:tentative="1">
      <w:start w:val="1"/>
      <w:numFmt w:val="lowerRoman"/>
      <w:lvlText w:val="%9."/>
      <w:lvlJc w:val="right"/>
      <w:pPr>
        <w:ind w:left="6480" w:hanging="180"/>
      </w:pPr>
    </w:lvl>
  </w:abstractNum>
  <w:abstractNum w:abstractNumId="3" w15:restartNumberingAfterBreak="0">
    <w:nsid w:val="238F4F2C"/>
    <w:multiLevelType w:val="hybridMultilevel"/>
    <w:tmpl w:val="37900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0D0D"/>
    <w:multiLevelType w:val="hybridMultilevel"/>
    <w:tmpl w:val="685E38BC"/>
    <w:lvl w:ilvl="0" w:tplc="E5F4733E">
      <w:start w:val="1"/>
      <w:numFmt w:val="bullet"/>
      <w:pStyle w:val="Bulletsl"/>
      <w:lvlText w:val=""/>
      <w:lvlJc w:val="left"/>
      <w:pPr>
        <w:ind w:left="720" w:hanging="360"/>
      </w:pPr>
      <w:rPr>
        <w:rFonts w:ascii="Symbol" w:hAnsi="Symbol" w:hint="default"/>
      </w:rPr>
    </w:lvl>
    <w:lvl w:ilvl="1" w:tplc="ED2A27FA">
      <w:start w:val="1"/>
      <w:numFmt w:val="bullet"/>
      <w:lvlText w:val="o"/>
      <w:lvlJc w:val="left"/>
      <w:pPr>
        <w:ind w:left="1440" w:hanging="360"/>
      </w:pPr>
      <w:rPr>
        <w:rFonts w:ascii="Courier New" w:hAnsi="Courier New" w:cs="Courier New" w:hint="default"/>
      </w:rPr>
    </w:lvl>
    <w:lvl w:ilvl="2" w:tplc="F300D450" w:tentative="1">
      <w:start w:val="1"/>
      <w:numFmt w:val="bullet"/>
      <w:lvlText w:val=""/>
      <w:lvlJc w:val="left"/>
      <w:pPr>
        <w:ind w:left="2160" w:hanging="360"/>
      </w:pPr>
      <w:rPr>
        <w:rFonts w:ascii="Wingdings" w:hAnsi="Wingdings" w:hint="default"/>
      </w:rPr>
    </w:lvl>
    <w:lvl w:ilvl="3" w:tplc="8BA48630" w:tentative="1">
      <w:start w:val="1"/>
      <w:numFmt w:val="bullet"/>
      <w:lvlText w:val=""/>
      <w:lvlJc w:val="left"/>
      <w:pPr>
        <w:ind w:left="2880" w:hanging="360"/>
      </w:pPr>
      <w:rPr>
        <w:rFonts w:ascii="Symbol" w:hAnsi="Symbol" w:hint="default"/>
      </w:rPr>
    </w:lvl>
    <w:lvl w:ilvl="4" w:tplc="3F1A4E76" w:tentative="1">
      <w:start w:val="1"/>
      <w:numFmt w:val="bullet"/>
      <w:lvlText w:val="o"/>
      <w:lvlJc w:val="left"/>
      <w:pPr>
        <w:ind w:left="3600" w:hanging="360"/>
      </w:pPr>
      <w:rPr>
        <w:rFonts w:ascii="Courier New" w:hAnsi="Courier New" w:cs="Courier New" w:hint="default"/>
      </w:rPr>
    </w:lvl>
    <w:lvl w:ilvl="5" w:tplc="760ADCD4" w:tentative="1">
      <w:start w:val="1"/>
      <w:numFmt w:val="bullet"/>
      <w:lvlText w:val=""/>
      <w:lvlJc w:val="left"/>
      <w:pPr>
        <w:ind w:left="4320" w:hanging="360"/>
      </w:pPr>
      <w:rPr>
        <w:rFonts w:ascii="Wingdings" w:hAnsi="Wingdings" w:hint="default"/>
      </w:rPr>
    </w:lvl>
    <w:lvl w:ilvl="6" w:tplc="6AE8BE6E" w:tentative="1">
      <w:start w:val="1"/>
      <w:numFmt w:val="bullet"/>
      <w:lvlText w:val=""/>
      <w:lvlJc w:val="left"/>
      <w:pPr>
        <w:ind w:left="5040" w:hanging="360"/>
      </w:pPr>
      <w:rPr>
        <w:rFonts w:ascii="Symbol" w:hAnsi="Symbol" w:hint="default"/>
      </w:rPr>
    </w:lvl>
    <w:lvl w:ilvl="7" w:tplc="09903316" w:tentative="1">
      <w:start w:val="1"/>
      <w:numFmt w:val="bullet"/>
      <w:lvlText w:val="o"/>
      <w:lvlJc w:val="left"/>
      <w:pPr>
        <w:ind w:left="5760" w:hanging="360"/>
      </w:pPr>
      <w:rPr>
        <w:rFonts w:ascii="Courier New" w:hAnsi="Courier New" w:cs="Courier New" w:hint="default"/>
      </w:rPr>
    </w:lvl>
    <w:lvl w:ilvl="8" w:tplc="5DA61E04"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43C2E6A0">
      <w:start w:val="1"/>
      <w:numFmt w:val="decimal"/>
      <w:lvlText w:val="%1."/>
      <w:lvlJc w:val="left"/>
      <w:pPr>
        <w:ind w:left="720" w:hanging="360"/>
      </w:pPr>
    </w:lvl>
    <w:lvl w:ilvl="1" w:tplc="473C2B58">
      <w:start w:val="1"/>
      <w:numFmt w:val="lowerLetter"/>
      <w:pStyle w:val="Outlinelevel2"/>
      <w:lvlText w:val="%2."/>
      <w:lvlJc w:val="left"/>
      <w:pPr>
        <w:ind w:left="1440" w:hanging="360"/>
      </w:pPr>
      <w:rPr>
        <w:b w:val="0"/>
      </w:rPr>
    </w:lvl>
    <w:lvl w:ilvl="2" w:tplc="3B64FDC0">
      <w:start w:val="1"/>
      <w:numFmt w:val="lowerRoman"/>
      <w:pStyle w:val="Outlinelevel3"/>
      <w:lvlText w:val="%3."/>
      <w:lvlJc w:val="right"/>
      <w:pPr>
        <w:ind w:left="2070" w:hanging="180"/>
      </w:pPr>
      <w:rPr>
        <w:i w:val="0"/>
      </w:rPr>
    </w:lvl>
    <w:lvl w:ilvl="3" w:tplc="49C6B432">
      <w:start w:val="1"/>
      <w:numFmt w:val="decimal"/>
      <w:pStyle w:val="Outlinelevel4"/>
      <w:lvlText w:val="%4."/>
      <w:lvlJc w:val="left"/>
      <w:pPr>
        <w:ind w:left="2880" w:hanging="360"/>
      </w:pPr>
    </w:lvl>
    <w:lvl w:ilvl="4" w:tplc="590CA428" w:tentative="1">
      <w:start w:val="1"/>
      <w:numFmt w:val="lowerLetter"/>
      <w:lvlText w:val="%5."/>
      <w:lvlJc w:val="left"/>
      <w:pPr>
        <w:ind w:left="3600" w:hanging="360"/>
      </w:pPr>
    </w:lvl>
    <w:lvl w:ilvl="5" w:tplc="19E60AAC" w:tentative="1">
      <w:start w:val="1"/>
      <w:numFmt w:val="lowerRoman"/>
      <w:lvlText w:val="%6."/>
      <w:lvlJc w:val="right"/>
      <w:pPr>
        <w:ind w:left="4320" w:hanging="180"/>
      </w:pPr>
    </w:lvl>
    <w:lvl w:ilvl="6" w:tplc="A3883074" w:tentative="1">
      <w:start w:val="1"/>
      <w:numFmt w:val="decimal"/>
      <w:lvlText w:val="%7."/>
      <w:lvlJc w:val="left"/>
      <w:pPr>
        <w:ind w:left="5040" w:hanging="360"/>
      </w:pPr>
    </w:lvl>
    <w:lvl w:ilvl="7" w:tplc="2D06AD72" w:tentative="1">
      <w:start w:val="1"/>
      <w:numFmt w:val="lowerLetter"/>
      <w:lvlText w:val="%8."/>
      <w:lvlJc w:val="left"/>
      <w:pPr>
        <w:ind w:left="5760" w:hanging="360"/>
      </w:pPr>
    </w:lvl>
    <w:lvl w:ilvl="8" w:tplc="5D2A7CD8" w:tentative="1">
      <w:start w:val="1"/>
      <w:numFmt w:val="lowerRoman"/>
      <w:lvlText w:val="%9."/>
      <w:lvlJc w:val="right"/>
      <w:pPr>
        <w:ind w:left="6480" w:hanging="180"/>
      </w:pPr>
    </w:lvl>
  </w:abstractNum>
  <w:abstractNum w:abstractNumId="6" w15:restartNumberingAfterBreak="0">
    <w:nsid w:val="5A1F1BF0"/>
    <w:multiLevelType w:val="hybridMultilevel"/>
    <w:tmpl w:val="E3527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C42667"/>
    <w:rsid w:val="00017983"/>
    <w:rsid w:val="00030360"/>
    <w:rsid w:val="00031A51"/>
    <w:rsid w:val="00031BC0"/>
    <w:rsid w:val="000369BB"/>
    <w:rsid w:val="00042BE8"/>
    <w:rsid w:val="0004450B"/>
    <w:rsid w:val="00050F3B"/>
    <w:rsid w:val="000528BA"/>
    <w:rsid w:val="00056406"/>
    <w:rsid w:val="0005649C"/>
    <w:rsid w:val="0005722F"/>
    <w:rsid w:val="00070F90"/>
    <w:rsid w:val="00072283"/>
    <w:rsid w:val="00080C83"/>
    <w:rsid w:val="000A6111"/>
    <w:rsid w:val="000B0FB5"/>
    <w:rsid w:val="000B36BA"/>
    <w:rsid w:val="000B79E3"/>
    <w:rsid w:val="000C15AB"/>
    <w:rsid w:val="000D2475"/>
    <w:rsid w:val="000D6EF4"/>
    <w:rsid w:val="000E4188"/>
    <w:rsid w:val="000E7BBA"/>
    <w:rsid w:val="000F5D27"/>
    <w:rsid w:val="00102464"/>
    <w:rsid w:val="00106632"/>
    <w:rsid w:val="00107550"/>
    <w:rsid w:val="001134BD"/>
    <w:rsid w:val="001145AD"/>
    <w:rsid w:val="001174FE"/>
    <w:rsid w:val="00136595"/>
    <w:rsid w:val="00143C5E"/>
    <w:rsid w:val="00144ADE"/>
    <w:rsid w:val="00146CAD"/>
    <w:rsid w:val="001477CA"/>
    <w:rsid w:val="00157452"/>
    <w:rsid w:val="00162FD1"/>
    <w:rsid w:val="00167B68"/>
    <w:rsid w:val="00172983"/>
    <w:rsid w:val="00177A8A"/>
    <w:rsid w:val="001815CC"/>
    <w:rsid w:val="00185A75"/>
    <w:rsid w:val="00192302"/>
    <w:rsid w:val="00196DBC"/>
    <w:rsid w:val="0019725D"/>
    <w:rsid w:val="001972AD"/>
    <w:rsid w:val="001C34C9"/>
    <w:rsid w:val="001D548B"/>
    <w:rsid w:val="001E0838"/>
    <w:rsid w:val="002017E2"/>
    <w:rsid w:val="00215E25"/>
    <w:rsid w:val="002212B0"/>
    <w:rsid w:val="00221B5B"/>
    <w:rsid w:val="00226301"/>
    <w:rsid w:val="0022672C"/>
    <w:rsid w:val="00232194"/>
    <w:rsid w:val="002322AB"/>
    <w:rsid w:val="0023339B"/>
    <w:rsid w:val="0024475D"/>
    <w:rsid w:val="00254244"/>
    <w:rsid w:val="00254DFE"/>
    <w:rsid w:val="002569E0"/>
    <w:rsid w:val="00257C2C"/>
    <w:rsid w:val="00265D8C"/>
    <w:rsid w:val="002677EF"/>
    <w:rsid w:val="00271E67"/>
    <w:rsid w:val="00274FD5"/>
    <w:rsid w:val="002900FC"/>
    <w:rsid w:val="00297E6E"/>
    <w:rsid w:val="002B2985"/>
    <w:rsid w:val="002B45E6"/>
    <w:rsid w:val="002C2438"/>
    <w:rsid w:val="002C71AC"/>
    <w:rsid w:val="002F04D7"/>
    <w:rsid w:val="00300861"/>
    <w:rsid w:val="00300B24"/>
    <w:rsid w:val="00303DE3"/>
    <w:rsid w:val="00304863"/>
    <w:rsid w:val="003153A5"/>
    <w:rsid w:val="00317E1D"/>
    <w:rsid w:val="00320803"/>
    <w:rsid w:val="003400E8"/>
    <w:rsid w:val="00344EFA"/>
    <w:rsid w:val="00347B12"/>
    <w:rsid w:val="00365787"/>
    <w:rsid w:val="003658D5"/>
    <w:rsid w:val="003667F4"/>
    <w:rsid w:val="0036766C"/>
    <w:rsid w:val="0037121F"/>
    <w:rsid w:val="003715DD"/>
    <w:rsid w:val="00375A8E"/>
    <w:rsid w:val="00376234"/>
    <w:rsid w:val="00385E76"/>
    <w:rsid w:val="00386119"/>
    <w:rsid w:val="00386B98"/>
    <w:rsid w:val="003903ED"/>
    <w:rsid w:val="00393736"/>
    <w:rsid w:val="003B1202"/>
    <w:rsid w:val="003B56E7"/>
    <w:rsid w:val="003C2C79"/>
    <w:rsid w:val="003C71B5"/>
    <w:rsid w:val="003E0594"/>
    <w:rsid w:val="003E269E"/>
    <w:rsid w:val="003E68E6"/>
    <w:rsid w:val="003F3AD4"/>
    <w:rsid w:val="003F67DD"/>
    <w:rsid w:val="0041603C"/>
    <w:rsid w:val="00427CE5"/>
    <w:rsid w:val="00430C6C"/>
    <w:rsid w:val="00431244"/>
    <w:rsid w:val="00433ED0"/>
    <w:rsid w:val="004365F2"/>
    <w:rsid w:val="00443385"/>
    <w:rsid w:val="004455CA"/>
    <w:rsid w:val="00451E23"/>
    <w:rsid w:val="004551D6"/>
    <w:rsid w:val="00456FD6"/>
    <w:rsid w:val="00461024"/>
    <w:rsid w:val="00462B5B"/>
    <w:rsid w:val="00466381"/>
    <w:rsid w:val="00470CFC"/>
    <w:rsid w:val="004713C8"/>
    <w:rsid w:val="004753BB"/>
    <w:rsid w:val="00477AED"/>
    <w:rsid w:val="00483018"/>
    <w:rsid w:val="004834A3"/>
    <w:rsid w:val="00487329"/>
    <w:rsid w:val="004876BA"/>
    <w:rsid w:val="0049268A"/>
    <w:rsid w:val="00496559"/>
    <w:rsid w:val="004A004C"/>
    <w:rsid w:val="004A6882"/>
    <w:rsid w:val="004A6B5D"/>
    <w:rsid w:val="004B0985"/>
    <w:rsid w:val="004B4002"/>
    <w:rsid w:val="004B485E"/>
    <w:rsid w:val="004B69F9"/>
    <w:rsid w:val="004D1B40"/>
    <w:rsid w:val="004D6368"/>
    <w:rsid w:val="004D6385"/>
    <w:rsid w:val="004D7763"/>
    <w:rsid w:val="004E019F"/>
    <w:rsid w:val="004E100B"/>
    <w:rsid w:val="004E1184"/>
    <w:rsid w:val="004F191B"/>
    <w:rsid w:val="005169EB"/>
    <w:rsid w:val="00516F72"/>
    <w:rsid w:val="005204D7"/>
    <w:rsid w:val="00523F64"/>
    <w:rsid w:val="00527F3F"/>
    <w:rsid w:val="00533A84"/>
    <w:rsid w:val="0053422A"/>
    <w:rsid w:val="00553090"/>
    <w:rsid w:val="00557230"/>
    <w:rsid w:val="005622AF"/>
    <w:rsid w:val="00566842"/>
    <w:rsid w:val="00573BE6"/>
    <w:rsid w:val="00576CE4"/>
    <w:rsid w:val="00585B69"/>
    <w:rsid w:val="00594C38"/>
    <w:rsid w:val="00597392"/>
    <w:rsid w:val="005A19E3"/>
    <w:rsid w:val="005A64F9"/>
    <w:rsid w:val="005A7138"/>
    <w:rsid w:val="005B6361"/>
    <w:rsid w:val="005D098A"/>
    <w:rsid w:val="005D0FCF"/>
    <w:rsid w:val="005D39C7"/>
    <w:rsid w:val="005E0E28"/>
    <w:rsid w:val="005F63A0"/>
    <w:rsid w:val="006001D7"/>
    <w:rsid w:val="00605EA1"/>
    <w:rsid w:val="00624017"/>
    <w:rsid w:val="006303E1"/>
    <w:rsid w:val="00633430"/>
    <w:rsid w:val="006360A3"/>
    <w:rsid w:val="00636289"/>
    <w:rsid w:val="00643493"/>
    <w:rsid w:val="00643EA0"/>
    <w:rsid w:val="006513B2"/>
    <w:rsid w:val="00653654"/>
    <w:rsid w:val="006568C8"/>
    <w:rsid w:val="0065699B"/>
    <w:rsid w:val="00660797"/>
    <w:rsid w:val="00662E0B"/>
    <w:rsid w:val="00664508"/>
    <w:rsid w:val="00664D0A"/>
    <w:rsid w:val="00687CED"/>
    <w:rsid w:val="006954E5"/>
    <w:rsid w:val="006A12B1"/>
    <w:rsid w:val="006B5629"/>
    <w:rsid w:val="006C3AB1"/>
    <w:rsid w:val="006C459E"/>
    <w:rsid w:val="006C4E33"/>
    <w:rsid w:val="006E764D"/>
    <w:rsid w:val="006F05B2"/>
    <w:rsid w:val="006F2997"/>
    <w:rsid w:val="006F4918"/>
    <w:rsid w:val="00702076"/>
    <w:rsid w:val="00702ADC"/>
    <w:rsid w:val="007059A3"/>
    <w:rsid w:val="00705C1A"/>
    <w:rsid w:val="00710703"/>
    <w:rsid w:val="00726463"/>
    <w:rsid w:val="00726A5F"/>
    <w:rsid w:val="007367FE"/>
    <w:rsid w:val="0074004A"/>
    <w:rsid w:val="00742F6E"/>
    <w:rsid w:val="0074564B"/>
    <w:rsid w:val="007534CE"/>
    <w:rsid w:val="0076439D"/>
    <w:rsid w:val="0077481F"/>
    <w:rsid w:val="00776519"/>
    <w:rsid w:val="00777290"/>
    <w:rsid w:val="007A1370"/>
    <w:rsid w:val="007A6E43"/>
    <w:rsid w:val="007A724E"/>
    <w:rsid w:val="007B6087"/>
    <w:rsid w:val="007C1E0D"/>
    <w:rsid w:val="007C5E33"/>
    <w:rsid w:val="007D0533"/>
    <w:rsid w:val="007D1D10"/>
    <w:rsid w:val="007D4AB3"/>
    <w:rsid w:val="007D71B4"/>
    <w:rsid w:val="00801AF7"/>
    <w:rsid w:val="00802C08"/>
    <w:rsid w:val="008044CB"/>
    <w:rsid w:val="00814495"/>
    <w:rsid w:val="0081558F"/>
    <w:rsid w:val="0081601F"/>
    <w:rsid w:val="00817362"/>
    <w:rsid w:val="0082008D"/>
    <w:rsid w:val="00840279"/>
    <w:rsid w:val="00846C13"/>
    <w:rsid w:val="00850000"/>
    <w:rsid w:val="00852854"/>
    <w:rsid w:val="00852ED1"/>
    <w:rsid w:val="00865734"/>
    <w:rsid w:val="0087087C"/>
    <w:rsid w:val="00871E70"/>
    <w:rsid w:val="00877478"/>
    <w:rsid w:val="0088214E"/>
    <w:rsid w:val="00885C63"/>
    <w:rsid w:val="00890A75"/>
    <w:rsid w:val="008960DC"/>
    <w:rsid w:val="00896FFF"/>
    <w:rsid w:val="008A0443"/>
    <w:rsid w:val="008A2983"/>
    <w:rsid w:val="008A6CAE"/>
    <w:rsid w:val="008B4C62"/>
    <w:rsid w:val="008C2E7A"/>
    <w:rsid w:val="008C3283"/>
    <w:rsid w:val="008C414A"/>
    <w:rsid w:val="008C4884"/>
    <w:rsid w:val="008D4C1A"/>
    <w:rsid w:val="008D5CF3"/>
    <w:rsid w:val="008D6CF3"/>
    <w:rsid w:val="008E4BEF"/>
    <w:rsid w:val="008E4E86"/>
    <w:rsid w:val="009010B5"/>
    <w:rsid w:val="00904FDC"/>
    <w:rsid w:val="00910D44"/>
    <w:rsid w:val="009111BB"/>
    <w:rsid w:val="00911C53"/>
    <w:rsid w:val="009122E5"/>
    <w:rsid w:val="00916883"/>
    <w:rsid w:val="00917CA0"/>
    <w:rsid w:val="009270D6"/>
    <w:rsid w:val="00932310"/>
    <w:rsid w:val="009409A4"/>
    <w:rsid w:val="00941975"/>
    <w:rsid w:val="00942DD9"/>
    <w:rsid w:val="00945288"/>
    <w:rsid w:val="00956CD6"/>
    <w:rsid w:val="00980665"/>
    <w:rsid w:val="00980A61"/>
    <w:rsid w:val="00984837"/>
    <w:rsid w:val="009A029F"/>
    <w:rsid w:val="009A6022"/>
    <w:rsid w:val="009B03BA"/>
    <w:rsid w:val="009B42AA"/>
    <w:rsid w:val="009B4692"/>
    <w:rsid w:val="009C2DAA"/>
    <w:rsid w:val="009C4A4D"/>
    <w:rsid w:val="009C570E"/>
    <w:rsid w:val="009C58A2"/>
    <w:rsid w:val="009D2E09"/>
    <w:rsid w:val="009D5F14"/>
    <w:rsid w:val="009F3FEA"/>
    <w:rsid w:val="009F6493"/>
    <w:rsid w:val="009F68FD"/>
    <w:rsid w:val="00A039D4"/>
    <w:rsid w:val="00A04CBF"/>
    <w:rsid w:val="00A11BFE"/>
    <w:rsid w:val="00A24A00"/>
    <w:rsid w:val="00A3427D"/>
    <w:rsid w:val="00A408E1"/>
    <w:rsid w:val="00A473D3"/>
    <w:rsid w:val="00A47726"/>
    <w:rsid w:val="00A6243A"/>
    <w:rsid w:val="00A63389"/>
    <w:rsid w:val="00A76370"/>
    <w:rsid w:val="00A933A8"/>
    <w:rsid w:val="00AB3214"/>
    <w:rsid w:val="00AC0716"/>
    <w:rsid w:val="00AC484C"/>
    <w:rsid w:val="00AC5986"/>
    <w:rsid w:val="00AD74E1"/>
    <w:rsid w:val="00AF0400"/>
    <w:rsid w:val="00AF1524"/>
    <w:rsid w:val="00AF4ECF"/>
    <w:rsid w:val="00B124A2"/>
    <w:rsid w:val="00B15A2F"/>
    <w:rsid w:val="00B20130"/>
    <w:rsid w:val="00B33ACD"/>
    <w:rsid w:val="00B410F9"/>
    <w:rsid w:val="00B415B7"/>
    <w:rsid w:val="00B46901"/>
    <w:rsid w:val="00B5053C"/>
    <w:rsid w:val="00B5204B"/>
    <w:rsid w:val="00B54C48"/>
    <w:rsid w:val="00B55E6F"/>
    <w:rsid w:val="00B63F3E"/>
    <w:rsid w:val="00B6581E"/>
    <w:rsid w:val="00B74A5C"/>
    <w:rsid w:val="00B77680"/>
    <w:rsid w:val="00B954B0"/>
    <w:rsid w:val="00B95803"/>
    <w:rsid w:val="00BA27CA"/>
    <w:rsid w:val="00BA43EE"/>
    <w:rsid w:val="00BB10EE"/>
    <w:rsid w:val="00BB1B27"/>
    <w:rsid w:val="00BB40A3"/>
    <w:rsid w:val="00BC2519"/>
    <w:rsid w:val="00BD001C"/>
    <w:rsid w:val="00BE4F16"/>
    <w:rsid w:val="00BE5409"/>
    <w:rsid w:val="00BF3F9B"/>
    <w:rsid w:val="00BF5032"/>
    <w:rsid w:val="00BF55B9"/>
    <w:rsid w:val="00BF79F7"/>
    <w:rsid w:val="00C0078B"/>
    <w:rsid w:val="00C014D9"/>
    <w:rsid w:val="00C05184"/>
    <w:rsid w:val="00C055D0"/>
    <w:rsid w:val="00C10DB6"/>
    <w:rsid w:val="00C13BA7"/>
    <w:rsid w:val="00C14C77"/>
    <w:rsid w:val="00C26916"/>
    <w:rsid w:val="00C3300D"/>
    <w:rsid w:val="00C34543"/>
    <w:rsid w:val="00C37714"/>
    <w:rsid w:val="00C42667"/>
    <w:rsid w:val="00C536F2"/>
    <w:rsid w:val="00C55579"/>
    <w:rsid w:val="00C57879"/>
    <w:rsid w:val="00C642AE"/>
    <w:rsid w:val="00C72F7B"/>
    <w:rsid w:val="00C74B70"/>
    <w:rsid w:val="00C74FFF"/>
    <w:rsid w:val="00C905AF"/>
    <w:rsid w:val="00C91793"/>
    <w:rsid w:val="00C929C8"/>
    <w:rsid w:val="00CA1C77"/>
    <w:rsid w:val="00CA3BB5"/>
    <w:rsid w:val="00CA42EB"/>
    <w:rsid w:val="00CA5F95"/>
    <w:rsid w:val="00CB0E67"/>
    <w:rsid w:val="00CB2B3C"/>
    <w:rsid w:val="00CB491E"/>
    <w:rsid w:val="00CB5962"/>
    <w:rsid w:val="00CC48BF"/>
    <w:rsid w:val="00CD06D2"/>
    <w:rsid w:val="00CD2A24"/>
    <w:rsid w:val="00CD5F01"/>
    <w:rsid w:val="00CD6868"/>
    <w:rsid w:val="00CD6999"/>
    <w:rsid w:val="00CE2C7F"/>
    <w:rsid w:val="00CE536E"/>
    <w:rsid w:val="00CF4EF6"/>
    <w:rsid w:val="00D0571A"/>
    <w:rsid w:val="00D0779C"/>
    <w:rsid w:val="00D07860"/>
    <w:rsid w:val="00D1257B"/>
    <w:rsid w:val="00D12D28"/>
    <w:rsid w:val="00D14D54"/>
    <w:rsid w:val="00D42400"/>
    <w:rsid w:val="00D43C08"/>
    <w:rsid w:val="00D51555"/>
    <w:rsid w:val="00D5607A"/>
    <w:rsid w:val="00D57E0E"/>
    <w:rsid w:val="00D61D73"/>
    <w:rsid w:val="00D6574B"/>
    <w:rsid w:val="00D7085C"/>
    <w:rsid w:val="00D7285F"/>
    <w:rsid w:val="00D849A6"/>
    <w:rsid w:val="00D87A0F"/>
    <w:rsid w:val="00D942B5"/>
    <w:rsid w:val="00D957DA"/>
    <w:rsid w:val="00DA0B0D"/>
    <w:rsid w:val="00DA1936"/>
    <w:rsid w:val="00DB5FA1"/>
    <w:rsid w:val="00DC02C8"/>
    <w:rsid w:val="00DD02E4"/>
    <w:rsid w:val="00DD1A35"/>
    <w:rsid w:val="00DD6FBD"/>
    <w:rsid w:val="00DE0CB5"/>
    <w:rsid w:val="00DE2704"/>
    <w:rsid w:val="00DE6326"/>
    <w:rsid w:val="00DF1F22"/>
    <w:rsid w:val="00E150B5"/>
    <w:rsid w:val="00E2157C"/>
    <w:rsid w:val="00E2238F"/>
    <w:rsid w:val="00E338B7"/>
    <w:rsid w:val="00E446DC"/>
    <w:rsid w:val="00E45CC3"/>
    <w:rsid w:val="00E5080F"/>
    <w:rsid w:val="00E522A8"/>
    <w:rsid w:val="00E53BD0"/>
    <w:rsid w:val="00E562C6"/>
    <w:rsid w:val="00E565F9"/>
    <w:rsid w:val="00E6105A"/>
    <w:rsid w:val="00E749B9"/>
    <w:rsid w:val="00E77592"/>
    <w:rsid w:val="00E77BDD"/>
    <w:rsid w:val="00E80CB5"/>
    <w:rsid w:val="00E81F44"/>
    <w:rsid w:val="00E928E1"/>
    <w:rsid w:val="00E9561A"/>
    <w:rsid w:val="00E97264"/>
    <w:rsid w:val="00EB1D5F"/>
    <w:rsid w:val="00EB51BF"/>
    <w:rsid w:val="00EC0A00"/>
    <w:rsid w:val="00EC3901"/>
    <w:rsid w:val="00EC53C3"/>
    <w:rsid w:val="00EC7867"/>
    <w:rsid w:val="00EE22DD"/>
    <w:rsid w:val="00EE5DB5"/>
    <w:rsid w:val="00EF05B3"/>
    <w:rsid w:val="00EF51B8"/>
    <w:rsid w:val="00EF6324"/>
    <w:rsid w:val="00EF66AA"/>
    <w:rsid w:val="00F02888"/>
    <w:rsid w:val="00F04975"/>
    <w:rsid w:val="00F25382"/>
    <w:rsid w:val="00F31014"/>
    <w:rsid w:val="00F333A4"/>
    <w:rsid w:val="00F3711D"/>
    <w:rsid w:val="00F44049"/>
    <w:rsid w:val="00F52179"/>
    <w:rsid w:val="00F526A6"/>
    <w:rsid w:val="00F534B1"/>
    <w:rsid w:val="00F6310E"/>
    <w:rsid w:val="00F63C33"/>
    <w:rsid w:val="00F7018C"/>
    <w:rsid w:val="00F72AE3"/>
    <w:rsid w:val="00F818E8"/>
    <w:rsid w:val="00F81D95"/>
    <w:rsid w:val="00F821E6"/>
    <w:rsid w:val="00F82FCE"/>
    <w:rsid w:val="00F83549"/>
    <w:rsid w:val="00F91B3A"/>
    <w:rsid w:val="00FA4705"/>
    <w:rsid w:val="00FB07EB"/>
    <w:rsid w:val="00FB3A60"/>
    <w:rsid w:val="00FC0A92"/>
    <w:rsid w:val="00FC451C"/>
    <w:rsid w:val="00FC6C76"/>
    <w:rsid w:val="00FE476B"/>
    <w:rsid w:val="00FE7E3C"/>
    <w:rsid w:val="00FF6325"/>
    <w:rsid w:val="09831745"/>
    <w:rsid w:val="0FC04A90"/>
    <w:rsid w:val="1D659309"/>
    <w:rsid w:val="58C2B6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C178"/>
  <w15:docId w15:val="{6E3AC053-1C0B-4A9E-A711-60391E4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8A2983"/>
    <w:pPr>
      <w:spacing w:before="240" w:after="240"/>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8A2983"/>
    <w:rPr>
      <w:rFonts w:ascii="Gill Sans MT" w:hAnsi="Gill Sans MT"/>
      <w:b/>
      <w:i/>
      <w:sz w:val="36"/>
      <w:szCs w:val="36"/>
    </w:rPr>
  </w:style>
  <w:style w:type="paragraph" w:customStyle="1" w:styleId="Subhead2sl">
    <w:name w:val="Subhead 2_sl"/>
    <w:basedOn w:val="Normal"/>
    <w:link w:val="Subhead2slChar"/>
    <w:qFormat/>
    <w:rsid w:val="00AF0400"/>
    <w:pPr>
      <w:keepNext/>
      <w:spacing w:before="360" w:after="120" w:line="360" w:lineRule="auto"/>
      <w:contextualSpacing/>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AF0400"/>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15E38"/>
    <w:pPr>
      <w:spacing w:after="0" w:line="240" w:lineRule="auto"/>
    </w:pPr>
    <w:rPr>
      <w:rFonts w:ascii="Garamond" w:hAnsi="Garamond"/>
      <w:sz w:val="24"/>
    </w:rPr>
  </w:style>
  <w:style w:type="paragraph" w:customStyle="1" w:styleId="Basiccopyindentedsl">
    <w:name w:val="Basic copy indented_sl"/>
    <w:basedOn w:val="Basiccopysl"/>
    <w:rsid w:val="00AF0400"/>
    <w:pPr>
      <w:ind w:left="720"/>
    </w:pPr>
  </w:style>
  <w:style w:type="paragraph" w:customStyle="1" w:styleId="Bulletboldsl">
    <w:name w:val="Bullet bold_sl"/>
    <w:basedOn w:val="Bulletsl"/>
    <w:rsid w:val="00AF0400"/>
    <w:pPr>
      <w:spacing w:before="240" w:line="276" w:lineRule="auto"/>
    </w:pPr>
    <w:rPr>
      <w:b/>
      <w:iCs/>
    </w:rPr>
  </w:style>
  <w:style w:type="paragraph" w:customStyle="1" w:styleId="Datessl">
    <w:name w:val="Dates_sl"/>
    <w:basedOn w:val="Normal"/>
    <w:rsid w:val="00AF0400"/>
    <w:pPr>
      <w:spacing w:after="120"/>
      <w:jc w:val="center"/>
    </w:pPr>
    <w:rPr>
      <w:b/>
    </w:rPr>
  </w:style>
  <w:style w:type="paragraph" w:styleId="Header">
    <w:name w:val="header"/>
    <w:basedOn w:val="Normal"/>
    <w:link w:val="HeaderChar"/>
    <w:uiPriority w:val="99"/>
    <w:unhideWhenUsed/>
    <w:rsid w:val="00C57879"/>
    <w:pPr>
      <w:tabs>
        <w:tab w:val="center" w:pos="4680"/>
        <w:tab w:val="right" w:pos="9360"/>
      </w:tabs>
      <w:spacing w:after="0"/>
    </w:pPr>
  </w:style>
  <w:style w:type="character" w:customStyle="1" w:styleId="HeaderChar">
    <w:name w:val="Header Char"/>
    <w:basedOn w:val="DefaultParagraphFont"/>
    <w:link w:val="Header"/>
    <w:uiPriority w:val="99"/>
    <w:rsid w:val="00C57879"/>
    <w:rPr>
      <w:rFonts w:ascii="Garamond" w:hAnsi="Garamond"/>
      <w:sz w:val="24"/>
    </w:rPr>
  </w:style>
  <w:style w:type="paragraph" w:styleId="Footer">
    <w:name w:val="footer"/>
    <w:basedOn w:val="Normal"/>
    <w:link w:val="FooterChar"/>
    <w:uiPriority w:val="99"/>
    <w:unhideWhenUsed/>
    <w:rsid w:val="00C57879"/>
    <w:pPr>
      <w:tabs>
        <w:tab w:val="center" w:pos="4680"/>
        <w:tab w:val="right" w:pos="9360"/>
      </w:tabs>
      <w:spacing w:after="0"/>
    </w:pPr>
  </w:style>
  <w:style w:type="character" w:customStyle="1" w:styleId="FooterChar">
    <w:name w:val="Footer Char"/>
    <w:basedOn w:val="DefaultParagraphFont"/>
    <w:link w:val="Footer"/>
    <w:uiPriority w:val="99"/>
    <w:rsid w:val="00C57879"/>
    <w:rPr>
      <w:rFonts w:ascii="Garamond" w:hAnsi="Garamond"/>
      <w:sz w:val="24"/>
    </w:rPr>
  </w:style>
  <w:style w:type="paragraph" w:customStyle="1" w:styleId="Default">
    <w:name w:val="Default"/>
    <w:rsid w:val="000A6111"/>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8C414A"/>
    <w:rPr>
      <w:i/>
      <w:iCs/>
    </w:rPr>
  </w:style>
  <w:style w:type="character" w:styleId="UnresolvedMention">
    <w:name w:val="Unresolved Mention"/>
    <w:basedOn w:val="DefaultParagraphFont"/>
    <w:uiPriority w:val="99"/>
    <w:semiHidden/>
    <w:unhideWhenUsed/>
    <w:rsid w:val="002017E2"/>
    <w:rPr>
      <w:color w:val="605E5C"/>
      <w:shd w:val="clear" w:color="auto" w:fill="E1DFDD"/>
    </w:rPr>
  </w:style>
  <w:style w:type="paragraph" w:styleId="EndnoteText">
    <w:name w:val="endnote text"/>
    <w:basedOn w:val="Normal"/>
    <w:link w:val="EndnoteTextChar"/>
    <w:uiPriority w:val="99"/>
    <w:semiHidden/>
    <w:unhideWhenUsed/>
    <w:rsid w:val="008A0443"/>
    <w:pPr>
      <w:spacing w:after="0"/>
    </w:pPr>
    <w:rPr>
      <w:sz w:val="20"/>
      <w:szCs w:val="20"/>
    </w:rPr>
  </w:style>
  <w:style w:type="character" w:customStyle="1" w:styleId="EndnoteTextChar">
    <w:name w:val="Endnote Text Char"/>
    <w:basedOn w:val="DefaultParagraphFont"/>
    <w:link w:val="EndnoteText"/>
    <w:uiPriority w:val="99"/>
    <w:semiHidden/>
    <w:rsid w:val="008A0443"/>
    <w:rPr>
      <w:rFonts w:ascii="Garamond" w:hAnsi="Garamond"/>
      <w:sz w:val="20"/>
      <w:szCs w:val="20"/>
    </w:rPr>
  </w:style>
  <w:style w:type="character" w:styleId="EndnoteReference">
    <w:name w:val="endnote reference"/>
    <w:basedOn w:val="DefaultParagraphFont"/>
    <w:uiPriority w:val="99"/>
    <w:semiHidden/>
    <w:unhideWhenUsed/>
    <w:rsid w:val="008A0443"/>
    <w:rPr>
      <w:vertAlign w:val="superscript"/>
    </w:rPr>
  </w:style>
  <w:style w:type="paragraph" w:styleId="NoSpacing">
    <w:name w:val="No Spacing"/>
    <w:uiPriority w:val="1"/>
    <w:qFormat/>
    <w:rsid w:val="00347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8325">
      <w:bodyDiv w:val="1"/>
      <w:marLeft w:val="0"/>
      <w:marRight w:val="0"/>
      <w:marTop w:val="0"/>
      <w:marBottom w:val="0"/>
      <w:divBdr>
        <w:top w:val="none" w:sz="0" w:space="0" w:color="auto"/>
        <w:left w:val="none" w:sz="0" w:space="0" w:color="auto"/>
        <w:bottom w:val="none" w:sz="0" w:space="0" w:color="auto"/>
        <w:right w:val="none" w:sz="0" w:space="0" w:color="auto"/>
      </w:divBdr>
    </w:div>
    <w:div w:id="1489518838">
      <w:bodyDiv w:val="1"/>
      <w:marLeft w:val="0"/>
      <w:marRight w:val="0"/>
      <w:marTop w:val="0"/>
      <w:marBottom w:val="0"/>
      <w:divBdr>
        <w:top w:val="none" w:sz="0" w:space="0" w:color="auto"/>
        <w:left w:val="none" w:sz="0" w:space="0" w:color="auto"/>
        <w:bottom w:val="none" w:sz="0" w:space="0" w:color="auto"/>
        <w:right w:val="none" w:sz="0" w:space="0" w:color="auto"/>
      </w:divBdr>
      <w:divsChild>
        <w:div w:id="1074205549">
          <w:marLeft w:val="0"/>
          <w:marRight w:val="-2400"/>
          <w:marTop w:val="0"/>
          <w:marBottom w:val="0"/>
          <w:divBdr>
            <w:top w:val="none" w:sz="0" w:space="0" w:color="auto"/>
            <w:left w:val="none" w:sz="0" w:space="0" w:color="auto"/>
            <w:bottom w:val="none" w:sz="0" w:space="0" w:color="auto"/>
            <w:right w:val="none" w:sz="0" w:space="0" w:color="auto"/>
          </w:divBdr>
          <w:divsChild>
            <w:div w:id="244267771">
              <w:marLeft w:val="0"/>
              <w:marRight w:val="0"/>
              <w:marTop w:val="0"/>
              <w:marBottom w:val="0"/>
              <w:divBdr>
                <w:top w:val="none" w:sz="0" w:space="0" w:color="auto"/>
                <w:left w:val="none" w:sz="0" w:space="0" w:color="auto"/>
                <w:bottom w:val="none" w:sz="0" w:space="0" w:color="auto"/>
                <w:right w:val="none" w:sz="0" w:space="0" w:color="auto"/>
              </w:divBdr>
              <w:divsChild>
                <w:div w:id="13497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8393">
          <w:marLeft w:val="432"/>
          <w:marRight w:val="432"/>
          <w:marTop w:val="150"/>
          <w:marBottom w:val="150"/>
          <w:divBdr>
            <w:top w:val="none" w:sz="0" w:space="0" w:color="auto"/>
            <w:left w:val="none" w:sz="0" w:space="0" w:color="auto"/>
            <w:bottom w:val="none" w:sz="0" w:space="0" w:color="auto"/>
            <w:right w:val="none" w:sz="0" w:space="0" w:color="auto"/>
          </w:divBdr>
        </w:div>
      </w:divsChild>
    </w:div>
    <w:div w:id="2016836610">
      <w:bodyDiv w:val="1"/>
      <w:marLeft w:val="0"/>
      <w:marRight w:val="0"/>
      <w:marTop w:val="0"/>
      <w:marBottom w:val="0"/>
      <w:divBdr>
        <w:top w:val="none" w:sz="0" w:space="0" w:color="auto"/>
        <w:left w:val="none" w:sz="0" w:space="0" w:color="auto"/>
        <w:bottom w:val="none" w:sz="0" w:space="0" w:color="auto"/>
        <w:right w:val="none" w:sz="0" w:space="0" w:color="auto"/>
      </w:divBdr>
      <w:divsChild>
        <w:div w:id="1814324790">
          <w:marLeft w:val="0"/>
          <w:marRight w:val="-2400"/>
          <w:marTop w:val="0"/>
          <w:marBottom w:val="0"/>
          <w:divBdr>
            <w:top w:val="none" w:sz="0" w:space="0" w:color="auto"/>
            <w:left w:val="none" w:sz="0" w:space="0" w:color="auto"/>
            <w:bottom w:val="none" w:sz="0" w:space="0" w:color="auto"/>
            <w:right w:val="none" w:sz="0" w:space="0" w:color="auto"/>
          </w:divBdr>
          <w:divsChild>
            <w:div w:id="2115899142">
              <w:marLeft w:val="0"/>
              <w:marRight w:val="0"/>
              <w:marTop w:val="0"/>
              <w:marBottom w:val="0"/>
              <w:divBdr>
                <w:top w:val="none" w:sz="0" w:space="0" w:color="auto"/>
                <w:left w:val="none" w:sz="0" w:space="0" w:color="auto"/>
                <w:bottom w:val="none" w:sz="0" w:space="0" w:color="auto"/>
                <w:right w:val="none" w:sz="0" w:space="0" w:color="auto"/>
              </w:divBdr>
              <w:divsChild>
                <w:div w:id="540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73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llotpedia.org/Dobbs_v._Jackson_Women%E2%80%99s_Health_Organiz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supremecourt.gov/opinions/21pdf/19-1392_6j3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wkins\Street%20Law,%20Inc\Street%20Law%20-%202_Comms\STYLE%20GUIDE%20+%20TOOLS\1%20-%20Templates\Lesson%20Plans\2020%20case%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21" ma:contentTypeDescription="Create a new document." ma:contentTypeScope="" ma:versionID="3d5c656b0fc03c6039c52ce2f45ebc33">
  <xsd:schema xmlns:xsd="http://www.w3.org/2001/XMLSchema" xmlns:xs="http://www.w3.org/2001/XMLSchema" xmlns:p="http://schemas.microsoft.com/office/2006/metadata/properties" xmlns:ns1="http://schemas.microsoft.com/sharepoint/v3" xmlns:ns2="9af227aa-5493-4bfe-a302-9771bcf92926" xmlns:ns3="f90ba59e-6231-420d-b202-993c3441322c" targetNamespace="http://schemas.microsoft.com/office/2006/metadata/properties" ma:root="true" ma:fieldsID="6c13660b71893d9c65fdb36a9ffe3b94" ns1:_="" ns2:_="" ns3:_="">
    <xsd:import namespace="http://schemas.microsoft.com/sharepoint/v3"/>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bc53e2-4c27-4b85-a379-acbab1a1b851}" ma:internalName="TaxCatchAll" ma:showField="CatchAllData" ma:web="f90ba59e-6231-420d-b202-993c34413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0ba59e-6231-420d-b202-993c3441322c" xsi:nil="true"/>
    <lcf76f155ced4ddcb4097134ff3c332f xmlns="9af227aa-5493-4bfe-a302-9771bcf9292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odified_x0020_Date_x0020__x0026__x0020_Time xmlns="9af227aa-5493-4bfe-a302-9771bcf92926" xsi:nil="true"/>
    <date xmlns="9af227aa-5493-4bfe-a302-9771bcf92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637A-9278-4A24-9AB2-405BCE0C279F}">
  <ds:schemaRefs>
    <ds:schemaRef ds:uri="http://schemas.microsoft.com/sharepoint/v3/contenttype/forms"/>
  </ds:schemaRefs>
</ds:datastoreItem>
</file>

<file path=customXml/itemProps2.xml><?xml version="1.0" encoding="utf-8"?>
<ds:datastoreItem xmlns:ds="http://schemas.openxmlformats.org/officeDocument/2006/customXml" ds:itemID="{BB5130AD-E436-4AA0-9E6B-CB2C4EEC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4A07B-DBB9-46BC-8780-3E291C52C34B}">
  <ds:schemaRefs>
    <ds:schemaRef ds:uri="http://schemas.microsoft.com/office/2006/metadata/properties"/>
    <ds:schemaRef ds:uri="http://schemas.microsoft.com/office/infopath/2007/PartnerControls"/>
    <ds:schemaRef ds:uri="f90ba59e-6231-420d-b202-993c3441322c"/>
    <ds:schemaRef ds:uri="9af227aa-5493-4bfe-a302-9771bcf92926"/>
    <ds:schemaRef ds:uri="http://schemas.microsoft.com/sharepoint/v3"/>
  </ds:schemaRefs>
</ds:datastoreItem>
</file>

<file path=customXml/itemProps4.xml><?xml version="1.0" encoding="utf-8"?>
<ds:datastoreItem xmlns:ds="http://schemas.openxmlformats.org/officeDocument/2006/customXml" ds:itemID="{05C2A1D5-64CB-48D0-87DC-57FC2A7A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case summary template</Template>
  <TotalTime>1296</TotalTime>
  <Pages>4</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ahawkins</dc:creator>
  <cp:lastModifiedBy>Brad Faulhaber</cp:lastModifiedBy>
  <cp:revision>16</cp:revision>
  <dcterms:created xsi:type="dcterms:W3CDTF">2024-04-02T17:26:00Z</dcterms:created>
  <dcterms:modified xsi:type="dcterms:W3CDTF">2024-04-05T14:54:00Z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y fmtid="{D5CDD505-2E9C-101B-9397-08002B2CF9AE}" pid="3" name="MediaServiceImageTags">
    <vt:lpwstr/>
  </property>
</Properties>
</file>